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3"/>
        <w:widowControl w:val="1"/>
        <w:spacing w:line="240" w:lineRule="exact"/>
        <w:ind/>
        <w:jc w:val="both"/>
        <w:rPr>
          <w:b w:val="1"/>
        </w:rPr>
      </w:pPr>
    </w:p>
    <w:p w14:paraId="06000000">
      <w:pPr>
        <w:pStyle w:val="Style_3"/>
        <w:widowControl w:val="1"/>
        <w:ind w:firstLine="0"/>
        <w:jc w:val="both"/>
        <w:rPr>
          <w:b w:val="1"/>
          <w:spacing w:val="6"/>
          <w:sz w:val="28"/>
        </w:rPr>
      </w:pPr>
      <w:r>
        <w:rPr>
          <w:b w:val="1"/>
          <w:spacing w:val="6"/>
          <w:sz w:val="28"/>
        </w:rPr>
        <w:tab/>
      </w:r>
      <w:r>
        <w:rPr>
          <w:b w:val="0"/>
          <w:spacing w:val="-8"/>
          <w:sz w:val="28"/>
        </w:rPr>
        <w:t xml:space="preserve">В рамках соглашений о взаимодействии и в целях правового просвещения населения направляю в Ваш адрес и для размещения на сайтах органов местного самоуправления </w:t>
      </w:r>
      <w:r>
        <w:rPr>
          <w:b w:val="0"/>
          <w:spacing w:val="-8"/>
          <w:sz w:val="28"/>
        </w:rPr>
        <w:t>7</w:t>
      </w:r>
      <w:r>
        <w:rPr>
          <w:b w:val="0"/>
          <w:spacing w:val="-8"/>
          <w:sz w:val="28"/>
        </w:rPr>
        <w:t xml:space="preserve"> статей.</w:t>
      </w:r>
    </w:p>
    <w:p w14:paraId="07000000">
      <w:pPr>
        <w:pStyle w:val="Style_3"/>
        <w:widowControl w:val="1"/>
        <w:ind w:firstLine="0"/>
        <w:jc w:val="both"/>
        <w:rPr>
          <w:b w:val="0"/>
          <w:spacing w:val="-8"/>
          <w:sz w:val="28"/>
        </w:rPr>
      </w:pPr>
      <w:r>
        <w:rPr>
          <w:b w:val="1"/>
          <w:spacing w:val="-8"/>
          <w:sz w:val="28"/>
        </w:rPr>
        <w:tab/>
      </w:r>
      <w:r>
        <w:rPr>
          <w:b w:val="1"/>
          <w:spacing w:val="-8"/>
          <w:sz w:val="28"/>
        </w:rPr>
        <w:t xml:space="preserve">1. </w:t>
      </w:r>
      <w:r>
        <w:rPr>
          <w:b w:val="1"/>
          <w:spacing w:val="-8"/>
          <w:sz w:val="28"/>
        </w:rPr>
        <w:t xml:space="preserve">Прокуратура города разъясняет изменения, </w:t>
      </w:r>
      <w:r>
        <w:rPr>
          <w:b w:val="1"/>
          <w:spacing w:val="-8"/>
          <w:sz w:val="28"/>
        </w:rPr>
        <w:t xml:space="preserve">внесенные </w:t>
      </w:r>
      <w:r>
        <w:rPr>
          <w:b w:val="1"/>
          <w:spacing w:val="-8"/>
          <w:sz w:val="28"/>
        </w:rPr>
        <w:t xml:space="preserve">в </w:t>
      </w:r>
      <w:r>
        <w:rPr>
          <w:b w:val="1"/>
          <w:spacing w:val="-8"/>
          <w:sz w:val="28"/>
        </w:rPr>
        <w:t>налогов</w:t>
      </w:r>
      <w:r>
        <w:rPr>
          <w:b w:val="1"/>
          <w:spacing w:val="-8"/>
          <w:sz w:val="28"/>
        </w:rPr>
        <w:t>ую</w:t>
      </w:r>
      <w:r>
        <w:rPr>
          <w:b w:val="1"/>
          <w:spacing w:val="-8"/>
          <w:sz w:val="28"/>
        </w:rPr>
        <w:t xml:space="preserve"> деклараци</w:t>
      </w:r>
      <w:r>
        <w:rPr>
          <w:b w:val="1"/>
          <w:spacing w:val="-8"/>
          <w:sz w:val="28"/>
        </w:rPr>
        <w:t>ю</w:t>
      </w:r>
      <w:r>
        <w:rPr>
          <w:b w:val="1"/>
          <w:spacing w:val="-8"/>
          <w:sz w:val="28"/>
        </w:rPr>
        <w:t xml:space="preserve"> по единому сельскохозяйственному налогу за налоговый период 2026 года.</w:t>
      </w:r>
    </w:p>
    <w:p w14:paraId="08000000">
      <w:pPr>
        <w:pStyle w:val="Style_3"/>
        <w:widowControl w:val="1"/>
        <w:ind w:firstLine="0"/>
        <w:jc w:val="both"/>
        <w:rPr>
          <w:spacing w:val="-8"/>
        </w:rPr>
      </w:pPr>
      <w:r>
        <w:rPr>
          <w:b w:val="1"/>
          <w:spacing w:val="-8"/>
          <w:sz w:val="28"/>
        </w:rPr>
        <w:tab/>
      </w:r>
      <w:r>
        <w:rPr>
          <w:b w:val="0"/>
          <w:spacing w:val="-8"/>
          <w:sz w:val="28"/>
        </w:rPr>
        <w:t>Н</w:t>
      </w:r>
      <w:r>
        <w:rPr>
          <w:b w:val="0"/>
          <w:spacing w:val="-8"/>
          <w:sz w:val="28"/>
        </w:rPr>
        <w:t xml:space="preserve">алоговую декларацию по единому сельскохозяйственному налогу за налоговый период 2026 года необходимо представить по обновленной форме не позднее 25 марта 2027 года. </w:t>
      </w:r>
      <w:r>
        <w:rPr>
          <w:spacing w:val="-8"/>
        </w:rPr>
        <w:t> </w:t>
      </w:r>
      <w:r>
        <w:rPr>
          <w:b w:val="0"/>
          <w:spacing w:val="-8"/>
        </w:rPr>
        <w:t xml:space="preserve">Новая форма налоговой декларации по ЕСХН, порядок ее заполнения и формат представления в электронной форме утверждены приказом ФНС России от 03.09.2026 N ЕД-1-3/654@. </w:t>
      </w:r>
    </w:p>
    <w:p w14:paraId="09000000">
      <w:pPr>
        <w:pStyle w:val="Style_3"/>
        <w:widowControl w:val="1"/>
        <w:ind w:firstLine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 xml:space="preserve">Основные изменения коснулись Раздела 2 декларации, в который добавлены новые строки для отражения суммы страховых взносов, учитываемых при определении налоговой базы по налогу. Указанные изменения затрагивают индивидуальных предпринимателей, которые не производят выплат и иных вознаграждений физическим лицам. </w:t>
      </w:r>
    </w:p>
    <w:p w14:paraId="0A000000">
      <w:pPr>
        <w:pStyle w:val="Style_3"/>
        <w:widowControl w:val="1"/>
        <w:ind w:firstLine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 xml:space="preserve">Такие плательщики указывают в декларации сведения о сумме страховых взносов в совокупном фиксированном размере, а также о сумме страховых взносов в размере 1% с доходов, превышающих 300 тысяч рублей. </w:t>
      </w:r>
    </w:p>
    <w:p w14:paraId="0B000000">
      <w:pPr>
        <w:pStyle w:val="Style_3"/>
        <w:widowControl w:val="1"/>
        <w:ind w:firstLine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 xml:space="preserve">В декларации также уточнены отдельные показатели и порядок их заполнения. </w:t>
      </w:r>
    </w:p>
    <w:p w14:paraId="0C000000">
      <w:pPr>
        <w:pStyle w:val="Style_3"/>
        <w:widowControl w:val="1"/>
        <w:ind w:firstLine="0"/>
        <w:jc w:val="both"/>
        <w:rPr>
          <w:b w:val="1"/>
          <w:spacing w:val="-8"/>
          <w:sz w:val="28"/>
        </w:rPr>
      </w:pPr>
      <w:r>
        <w:rPr>
          <w:b w:val="1"/>
          <w:spacing w:val="-8"/>
          <w:sz w:val="28"/>
        </w:rPr>
        <w:tab/>
      </w:r>
      <w:r>
        <w:rPr>
          <w:b w:val="1"/>
          <w:spacing w:val="-8"/>
          <w:sz w:val="28"/>
        </w:rPr>
        <w:t xml:space="preserve">2. Прокуратура города разъясняет методические рекомендации </w:t>
      </w:r>
      <w:r>
        <w:rPr>
          <w:b w:val="1"/>
          <w:spacing w:val="-8"/>
          <w:sz w:val="28"/>
        </w:rPr>
        <w:t>МР 2.4.0430-26 по обеспечению санитарно-эпидемиологических требований к дошкольным образовательным организациям.</w:t>
      </w:r>
    </w:p>
    <w:p w14:paraId="0D000000">
      <w:pPr>
        <w:pStyle w:val="Style_3"/>
        <w:widowControl w:val="1"/>
        <w:ind w:firstLine="0"/>
        <w:jc w:val="both"/>
        <w:rPr>
          <w:spacing w:val="-8"/>
        </w:rPr>
      </w:pPr>
      <w:r>
        <w:rPr>
          <w:b w:val="0"/>
          <w:spacing w:val="-8"/>
          <w:sz w:val="28"/>
        </w:rPr>
        <w:tab/>
      </w:r>
      <w:r>
        <w:rPr>
          <w:b w:val="0"/>
          <w:spacing w:val="-8"/>
          <w:sz w:val="28"/>
        </w:rPr>
        <w:t>М</w:t>
      </w:r>
      <w:r>
        <w:rPr>
          <w:b w:val="0"/>
          <w:spacing w:val="-8"/>
          <w:sz w:val="28"/>
        </w:rPr>
        <w:t xml:space="preserve">етодические рекомендации МР 2.4.0430-26 введены взамен аналогичных МР 2.4.0259-21, утвержденных руководителем Роспотребнадзора, Главным государственным санитарным врачом </w:t>
      </w:r>
      <w:r>
        <w:rPr>
          <w:b w:val="0"/>
          <w:spacing w:val="-8"/>
          <w:sz w:val="28"/>
        </w:rPr>
        <w:t>Российской Федерации</w:t>
      </w:r>
      <w:r>
        <w:rPr>
          <w:b w:val="0"/>
          <w:spacing w:val="-8"/>
          <w:sz w:val="28"/>
        </w:rPr>
        <w:t xml:space="preserve"> 28.09.2021. </w:t>
      </w:r>
    </w:p>
    <w:p w14:paraId="0E000000">
      <w:pPr>
        <w:pStyle w:val="Style_3"/>
        <w:widowControl w:val="1"/>
        <w:ind w:firstLine="0"/>
        <w:jc w:val="both"/>
        <w:rPr>
          <w:spacing w:val="-8"/>
        </w:rPr>
      </w:pPr>
      <w:r>
        <w:rPr>
          <w:b w:val="1"/>
          <w:spacing w:val="-8"/>
          <w:sz w:val="28"/>
        </w:rPr>
        <w:tab/>
      </w:r>
      <w:r>
        <w:rPr>
          <w:b w:val="0"/>
          <w:spacing w:val="-8"/>
        </w:rPr>
        <w:t xml:space="preserve">Рекомендации разработаны для реализации санитарно-эпидемиологических требований, в целях охраны здоровья детей и молодежи, предотвращения инфекционных, массовых неинфекционных заболеваний (отравлений), обеспечения безопасных условий при организации работы организаций, реализующих образовательные программы дошкольного образования, и организаций, осуществляющих присмотр и уход за детьми, в том числе размещенным в жилых и нежилых помещениях жилищного фонда и нежилых зданий, а также детских центров, центров развития детей и иных хозяйствующих субъектов, реализующих образовательные программы дошкольного образования и (или) осуществляющих присмотр и уход за детьми, размещенным в нежилых помещениях. </w:t>
      </w:r>
      <w:r>
        <w:rPr>
          <w:spacing w:val="-8"/>
        </w:rPr>
        <w:t> </w:t>
      </w:r>
    </w:p>
    <w:p w14:paraId="0F000000">
      <w:pPr>
        <w:pStyle w:val="Style_3"/>
        <w:widowControl w:val="1"/>
        <w:ind w:firstLine="0"/>
        <w:jc w:val="both"/>
        <w:rPr>
          <w:b w:val="1"/>
          <w:spacing w:val="-8"/>
        </w:rPr>
      </w:pPr>
      <w:r>
        <w:rPr>
          <w:b w:val="1"/>
          <w:spacing w:val="-8"/>
        </w:rPr>
        <w:tab/>
      </w:r>
      <w:r>
        <w:rPr>
          <w:b w:val="1"/>
          <w:spacing w:val="-8"/>
        </w:rPr>
        <w:t>3. Прокуратура города разъясняет изменения, внесенные в порядок призыва на военную службу граждан Российской Федерации, состоящих или обязанных состоять на воинском учете и не пребывающих в запасе.</w:t>
      </w:r>
    </w:p>
    <w:p w14:paraId="10000000">
      <w:pPr>
        <w:pStyle w:val="Style_3"/>
        <w:widowControl w:val="1"/>
        <w:ind w:firstLine="0"/>
        <w:jc w:val="both"/>
        <w:rPr>
          <w:spacing w:val="-8"/>
        </w:rPr>
      </w:pPr>
      <w:r>
        <w:rPr>
          <w:spacing w:val="-8"/>
        </w:rPr>
        <w:tab/>
      </w:r>
      <w:r>
        <w:rPr>
          <w:spacing w:val="-8"/>
        </w:rPr>
        <w:t xml:space="preserve">Постановление Правительства Российской Федерации от 10.10.2026 № 1335 «О внесении изменений в постановление Правительства Российской Федерации от 11.11.2006 № 663» внесены изменения,  в </w:t>
      </w:r>
      <w:r>
        <w:rPr>
          <w:b w:val="0"/>
          <w:spacing w:val="-8"/>
        </w:rPr>
        <w:t xml:space="preserve">частности, уточнен перечень документов, представляемых при рассмотрении вопроса о предоставлении гражданину отсрочки от призыва на военную службу в случае отсутствия технической возможности получения сведений в электронной форме из информационных ресурсов и информационных систем призывной комиссии, определен порядок подтверждения отсрочки от призыва на военную службу в зависимости от оснований ее получения, уточнен порядок оформления протоколов заседаний призывной комиссии субъекта РФ и личных дел призывников. </w:t>
      </w:r>
    </w:p>
    <w:p w14:paraId="11000000">
      <w:pPr>
        <w:pStyle w:val="Style_4"/>
        <w:widowControl w:val="1"/>
        <w:spacing w:after="0" w:before="0" w:line="285" w:lineRule="atLeast"/>
        <w:ind w:firstLine="0" w:left="0" w:right="0"/>
        <w:jc w:val="both"/>
        <w:rPr>
          <w:spacing w:val="-8"/>
        </w:rPr>
      </w:pPr>
      <w:r>
        <w:rPr>
          <w:b w:val="1"/>
          <w:spacing w:val="-8"/>
        </w:rPr>
        <w:tab/>
      </w:r>
      <w:r>
        <w:rPr>
          <w:b w:val="1"/>
          <w:spacing w:val="-8"/>
        </w:rPr>
        <w:t>4. Прокуратура города разъясняет порядок о</w:t>
      </w:r>
      <w:r>
        <w:rPr>
          <w:b w:val="1"/>
          <w:spacing w:val="-8"/>
        </w:rPr>
        <w:t>беспечения вещевым имуществом военнослужащих, граждан РФ, призванных на военные сборы, в Вооруженных Силах РФ в мирное врем</w:t>
      </w:r>
      <w:r>
        <w:rPr>
          <w:b w:val="1"/>
          <w:spacing w:val="-8"/>
        </w:rPr>
        <w:t>я.</w:t>
      </w:r>
    </w:p>
    <w:p w14:paraId="12000000">
      <w:pPr>
        <w:pStyle w:val="Style_4"/>
        <w:widowControl w:val="1"/>
        <w:spacing w:after="0" w:before="0" w:line="285" w:lineRule="atLeast"/>
        <w:ind w:firstLine="0" w:left="0" w:right="0"/>
        <w:jc w:val="both"/>
        <w:rPr>
          <w:spacing w:val="-8"/>
        </w:rPr>
      </w:pPr>
      <w:r>
        <w:rPr>
          <w:b w:val="1"/>
          <w:spacing w:val="-8"/>
        </w:rPr>
        <w:tab/>
      </w:r>
      <w:r>
        <w:rPr>
          <w:b w:val="0"/>
          <w:spacing w:val="-8"/>
        </w:rPr>
        <w:t xml:space="preserve">Приказом Министра обороны Российской Федерации от 21.08.2026 № 585 «О вещевом обеспечении в Вооруженных Силах Российской Федерации в мирное время» </w:t>
      </w:r>
      <w:r>
        <w:rPr>
          <w:b w:val="0"/>
          <w:spacing w:val="-8"/>
        </w:rPr>
        <w:t xml:space="preserve">определены: нормы переходящих и страховых запасов вещевого имущества и моющих материалов текущего обеспечения, содержащихся в соединениях, воинских частях и организациях Вооруженных Сил РФ; нормы содержания вещевого имущества на одного военнослужащего; нормы снабжения (расхода) специальным и санитарно-хозяйственным имуществом, палатками, брезентами, мягкими контейнерами, спортивным, альпинистским и обозным имуществом, банным инвентарем, моющими, ремонтными материалами, средствами ухода за обувью, оборудованием и материалами для ремонта имущества вещевой службы и банно-прачечного обслуживания, материалами и запасными частями к указанному оборудованию в Вооруженных Силах РФ; порядок и норма обеспечения вещевым довольствием, форменной одеждой и снаряжением работников ведомственной охраны Минобороны России; нормы обеспечения вещевым имуществом граждан РФ, проходящих военные сборы в Вооруженных Силах РФ; перечень предметов вещевого имущества, которые передаются в собственность военнослужащим, проходящим военную службу по призыву, при увольнении в запас Вооруженных Сил РФ. </w:t>
      </w:r>
    </w:p>
    <w:p w14:paraId="13000000">
      <w:pPr>
        <w:pStyle w:val="Style_4"/>
        <w:widowControl w:val="1"/>
        <w:spacing w:after="0" w:before="0" w:line="28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>Признается утратившим силу аналогичный приказ Министра обороны РФ от 14.</w:t>
      </w:r>
      <w:r>
        <w:rPr>
          <w:b w:val="0"/>
          <w:spacing w:val="-8"/>
        </w:rPr>
        <w:t>08.2017 №</w:t>
      </w:r>
      <w:r>
        <w:rPr>
          <w:b w:val="0"/>
          <w:spacing w:val="-8"/>
        </w:rPr>
        <w:t xml:space="preserve"> 500 с внесенными в него изменениями. </w:t>
      </w:r>
    </w:p>
    <w:p w14:paraId="14000000">
      <w:pPr>
        <w:pStyle w:val="Style_3"/>
        <w:widowControl w:val="1"/>
        <w:ind w:firstLine="0"/>
        <w:jc w:val="both"/>
        <w:rPr>
          <w:b w:val="1"/>
          <w:spacing w:val="-8"/>
        </w:rPr>
      </w:pPr>
      <w:r>
        <w:rPr>
          <w:b w:val="1"/>
          <w:spacing w:val="-8"/>
          <w:sz w:val="28"/>
        </w:rPr>
        <w:tab/>
      </w:r>
      <w:r>
        <w:rPr>
          <w:b w:val="1"/>
          <w:spacing w:val="-8"/>
          <w:sz w:val="28"/>
        </w:rPr>
        <w:t xml:space="preserve">5. Прокуратура города разъясняет правила </w:t>
      </w:r>
      <w:r>
        <w:rPr>
          <w:b w:val="1"/>
          <w:spacing w:val="-8"/>
        </w:rPr>
        <w:t xml:space="preserve">аннулирования лицензий на производство и оборот табачной продукции, никотинсодержащей продукции и сырья для их производства по решению федерального органа по контролю и надзору. </w:t>
      </w:r>
      <w:r>
        <w:rPr>
          <w:b w:val="0"/>
          <w:spacing w:val="-8"/>
        </w:rPr>
        <w:t xml:space="preserve"> </w:t>
      </w:r>
    </w:p>
    <w:p w14:paraId="15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spacing w:val="-8"/>
        </w:rPr>
        <w:t> </w:t>
      </w:r>
      <w:r>
        <w:rPr>
          <w:spacing w:val="-8"/>
        </w:rPr>
        <w:tab/>
      </w:r>
      <w:r>
        <w:rPr>
          <w:spacing w:val="-8"/>
        </w:rPr>
        <w:t xml:space="preserve">В соответствии с постановлением Правительства Российской Федерации от 30.09.2026 № 1236 «О внесении изменений в постановление Правительства Российской Федерации от 03.04.2024 № 421» актуализированы правила аннулирования лицензий на производство и оборот табачной продукции, никотиносодержащей продукции и сырья для их производства. </w:t>
      </w:r>
    </w:p>
    <w:p w14:paraId="16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>Действие Правил распространено на отношения, участниками которых являются ю</w:t>
      </w:r>
      <w:r>
        <w:rPr>
          <w:b w:val="0"/>
          <w:spacing w:val="-8"/>
        </w:rPr>
        <w:t>ридические лица</w:t>
      </w:r>
      <w:r>
        <w:rPr>
          <w:b w:val="0"/>
          <w:spacing w:val="-8"/>
        </w:rPr>
        <w:t xml:space="preserve"> или </w:t>
      </w:r>
      <w:r>
        <w:rPr>
          <w:b w:val="0"/>
          <w:spacing w:val="-8"/>
        </w:rPr>
        <w:t>индивидуальные предприниматели</w:t>
      </w:r>
      <w:r>
        <w:rPr>
          <w:b w:val="0"/>
          <w:spacing w:val="-8"/>
        </w:rPr>
        <w:t xml:space="preserve">, имеющие лицензии на осуществление следующих видов деятельности: </w:t>
      </w:r>
    </w:p>
    <w:p w14:paraId="17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>- закупка табачной продукции, сырья, никотинсодержащей продукции и никотинового сырья, а также хранение и поставка закупленных табачной продукции, сырья, никотинсодержащей продукции и никотинового сырья;</w:t>
      </w:r>
    </w:p>
    <w:p w14:paraId="18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 xml:space="preserve">- розничная торговля табачной продукцией и никотинсодержащей продукцией; </w:t>
      </w:r>
    </w:p>
    <w:p w14:paraId="19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>- развозная торговля табачной продукцией и никотинсодержащей продукцией.</w:t>
      </w:r>
    </w:p>
    <w:p w14:paraId="1A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>Уточнен и дополнен перечень оснований для принятия решения об аннулировании лицензии.</w:t>
      </w:r>
    </w:p>
    <w:p w14:paraId="1B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 xml:space="preserve">Экземпляр решения об аннулировании лицензии направляется лицензиату не позднее 3 рабочих дней (ранее - в течение 1 рабочего дня). </w:t>
      </w:r>
    </w:p>
    <w:p w14:paraId="1C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1"/>
          <w:spacing w:val="-8"/>
        </w:rPr>
        <w:t>6. Прокуратура города разъясняет порядок заключения между СФР и высшим исполнительным органом субъекта РФ соглашения о передаче функций по предоставлению отдельных мер социальной защиты (поддержки) в виде денежных выплат (социальных пособий, субсидий и иных выплат).</w:t>
      </w:r>
    </w:p>
    <w:p w14:paraId="1D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>В соответствии с постановлением Правительства Российской Федерации от 22.09.2026 № 1213 «Об утверждении Правил заключения соглашения между Фондом пенсионного и социального страхования Российской Федерации и высшим исполнительным органом субъекта Российской Федерации о передаче функций по предоставлению отдельных мер социальной защиты (поддержки) в виде денежных выплат (социальных пособий, субсидий и иных выплат), предусмотренных нормативными правовыми актами субъекта Российской Федерации» с</w:t>
      </w:r>
      <w:r>
        <w:rPr>
          <w:b w:val="0"/>
          <w:spacing w:val="-8"/>
        </w:rPr>
        <w:t xml:space="preserve"> 1 января 2027 г. устанавливается порядок заключения между СФР и высшим исполнительным органом субъекта РФ соглашения о передаче </w:t>
      </w:r>
      <w:r>
        <w:rPr>
          <w:b w:val="0"/>
          <w:spacing w:val="-8"/>
        </w:rPr>
        <w:t xml:space="preserve">вышеуказанных </w:t>
      </w:r>
      <w:r>
        <w:rPr>
          <w:b w:val="0"/>
          <w:spacing w:val="-8"/>
        </w:rPr>
        <w:t xml:space="preserve">функций по предоставлению отдельных мер социальной защиты (поддержки) в виде денежных выплат (социальных пособий, субсидий и иных выплат). </w:t>
      </w:r>
    </w:p>
    <w:p w14:paraId="1E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>Соглашение о передаче функций содержит: меры социальной защиты (поддержки), функции по предоставлению которых передаются от субъекта РФ территориальному органу Фонда, права и обязанности сторон соглашения, порядок передачи сведений, необходимых для их осуществления, включая сведения о получателях мер социальной защиты (поддержки), суммах соответствующих выплат, а также первичных документов, подтверждающих обоснованность предоставления мер социальной защиты (поддержки) по состоянию на дату заключения соглашения о передаче функций, ответственность за неисполнение или ненадлежащее исполнение соглашения, порядок финансового обеспечения осуществления территориальным органом Фонда функций по предоставлению мер социальной защиты (поддержки), иные вопросы, связанные с исполнением положений соглашения о передаче функций.</w:t>
      </w:r>
    </w:p>
    <w:p w14:paraId="1F000000">
      <w:pPr>
        <w:pStyle w:val="Style_4"/>
        <w:widowControl w:val="1"/>
        <w:spacing w:after="0" w:before="0" w:line="165" w:lineRule="atLeast"/>
        <w:ind w:firstLine="0" w:left="0" w:right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 xml:space="preserve">Соглашение о передаче функций заключается не менее чем на 3 года и применяется к отношениям, возникающим с 1 января очередного финансового года. </w:t>
      </w:r>
    </w:p>
    <w:p w14:paraId="20000000">
      <w:pPr>
        <w:pStyle w:val="Style_3"/>
        <w:widowControl w:val="1"/>
        <w:ind w:firstLine="0"/>
        <w:jc w:val="both"/>
        <w:rPr>
          <w:spacing w:val="-8"/>
        </w:rPr>
      </w:pPr>
      <w:r>
        <w:rPr>
          <w:b w:val="1"/>
          <w:spacing w:val="-8"/>
          <w:sz w:val="28"/>
        </w:rPr>
        <w:tab/>
      </w:r>
      <w:r>
        <w:rPr>
          <w:b w:val="1"/>
          <w:spacing w:val="-8"/>
          <w:sz w:val="28"/>
        </w:rPr>
        <w:t xml:space="preserve">7. Прокуратура города разъясняет </w:t>
      </w:r>
      <w:r>
        <w:rPr>
          <w:b w:val="1"/>
          <w:spacing w:val="-8"/>
        </w:rPr>
        <w:t>санитарно-эпидемиологические требования к содержанию территорий городских и сельских поселений в районах Крайнего Севера и приравненных к ним местностях</w:t>
      </w:r>
    </w:p>
    <w:p w14:paraId="21000000">
      <w:pPr>
        <w:pStyle w:val="Style_3"/>
        <w:widowControl w:val="1"/>
        <w:ind w:firstLine="0"/>
        <w:jc w:val="both"/>
        <w:rPr>
          <w:spacing w:val="-8"/>
        </w:rPr>
      </w:pPr>
      <w:r>
        <w:rPr>
          <w:b w:val="0"/>
          <w:spacing w:val="-8"/>
        </w:rPr>
        <w:tab/>
      </w:r>
      <w:r>
        <w:rPr>
          <w:b w:val="0"/>
          <w:spacing w:val="-8"/>
        </w:rPr>
        <w:t>В постановлении Главного государственного санитарного врача Российской Федерации от 10.09.2026 № 25 «</w:t>
      </w:r>
      <w:r>
        <w:rPr>
          <w:b w:val="0"/>
          <w:spacing w:val="-8"/>
        </w:rPr>
        <w:t xml:space="preserve">О внесении изменения в санитарные правила и нормы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утвержденные постановлением Главного государственного санитарного врача Российской Федерации от 28.01.2021 </w:t>
      </w:r>
      <w:r>
        <w:rPr>
          <w:b w:val="0"/>
          <w:spacing w:val="-8"/>
        </w:rPr>
        <w:t>№</w:t>
      </w:r>
      <w:r>
        <w:rPr>
          <w:b w:val="0"/>
          <w:spacing w:val="-8"/>
        </w:rPr>
        <w:t xml:space="preserve"> 3» </w:t>
      </w:r>
      <w:r>
        <w:rPr>
          <w:b w:val="0"/>
          <w:spacing w:val="-8"/>
        </w:rPr>
        <w:t>з</w:t>
      </w:r>
      <w:r>
        <w:rPr>
          <w:b w:val="0"/>
          <w:spacing w:val="-8"/>
        </w:rPr>
        <w:t>акреплен</w:t>
      </w:r>
      <w:r>
        <w:rPr>
          <w:b w:val="0"/>
          <w:spacing w:val="-8"/>
        </w:rPr>
        <w:t>ы положения о том, что</w:t>
      </w:r>
      <w:r>
        <w:rPr>
          <w:b w:val="0"/>
          <w:spacing w:val="-8"/>
        </w:rPr>
        <w:t xml:space="preserve"> в районах Крайнего Севера и местностях, приравненных к районам Крайнего Севера, допускается складирование снега, не содержащего противогололедные реагенты, на площадках без организации водонепроницаемого покрытия и обвалования сплошным земляным валом. </w:t>
      </w:r>
    </w:p>
    <w:p w14:paraId="22000000">
      <w:pPr>
        <w:pStyle w:val="Style_3"/>
        <w:widowControl w:val="1"/>
        <w:ind w:firstLine="0"/>
        <w:jc w:val="both"/>
        <w:rPr>
          <w:b w:val="1"/>
          <w:spacing w:val="-8"/>
          <w:sz w:val="28"/>
        </w:rPr>
      </w:pPr>
      <w:r>
        <w:rPr>
          <w:b w:val="1"/>
          <w:spacing w:val="-8"/>
          <w:sz w:val="28"/>
        </w:rPr>
        <w:tab/>
      </w:r>
      <w:r>
        <w:rPr>
          <w:b w:val="0"/>
          <w:spacing w:val="-8"/>
          <w:sz w:val="28"/>
        </w:rPr>
        <w:t xml:space="preserve">Указанные статьи необходимо опубликовать отдельными документами, о результатах опубликования указанных статей на официальных сайтах администрации с приложением скана статьи прошу информировать прокуратуру города в срок до </w:t>
      </w:r>
      <w:r>
        <w:rPr>
          <w:b w:val="0"/>
          <w:spacing w:val="-8"/>
          <w:sz w:val="28"/>
        </w:rPr>
        <w:t xml:space="preserve">09.11.2026. </w:t>
      </w:r>
    </w:p>
    <w:p w14:paraId="23000000">
      <w:pPr>
        <w:pStyle w:val="Style_3"/>
        <w:widowControl w:val="1"/>
        <w:ind w:firstLine="0"/>
        <w:jc w:val="both"/>
        <w:rPr>
          <w:spacing w:val="6"/>
          <w:sz w:val="28"/>
        </w:rPr>
      </w:pPr>
    </w:p>
    <w:p w14:paraId="24000000">
      <w:pPr>
        <w:pStyle w:val="Style_3"/>
        <w:widowControl w:val="1"/>
        <w:ind w:firstLine="0"/>
        <w:jc w:val="both"/>
        <w:rPr>
          <w:spacing w:val="6"/>
          <w:sz w:val="28"/>
        </w:rPr>
      </w:pPr>
    </w:p>
    <w:p w14:paraId="25000000">
      <w:pPr>
        <w:pStyle w:val="Style_3"/>
        <w:widowControl w:val="1"/>
        <w:spacing w:after="0" w:before="240"/>
        <w:ind w:left="3686"/>
        <w:rPr>
          <w:color w:themeColor="light1" w:themeShade="D9" w:val="D9D9D9"/>
        </w:rPr>
      </w:pPr>
    </w:p>
    <w:p w14:paraId="26000000">
      <w:pPr>
        <w:pStyle w:val="Style_3"/>
        <w:widowControl w:val="1"/>
        <w:spacing w:after="0" w:before="240"/>
        <w:ind w:left="3686"/>
        <w:rPr>
          <w:color w:themeColor="light1" w:themeShade="D9" w:val="D9D9D9"/>
        </w:rPr>
      </w:pPr>
    </w:p>
    <w:p w14:paraId="27000000">
      <w:pPr>
        <w:pStyle w:val="Style_3"/>
        <w:widowControl w:val="1"/>
        <w:spacing w:after="0" w:before="240"/>
        <w:ind w:left="3686"/>
        <w:rPr>
          <w:color w:themeColor="light1" w:themeShade="D9" w:val="D9D9D9"/>
        </w:rPr>
      </w:pPr>
    </w:p>
    <w:p w14:paraId="28000000">
      <w:pPr>
        <w:pStyle w:val="Style_3"/>
        <w:widowControl w:val="1"/>
        <w:spacing w:after="0" w:before="240"/>
        <w:ind w:left="3686"/>
        <w:rPr>
          <w:color w:themeColor="light1" w:themeShade="D9" w:val="D9D9D9"/>
        </w:rPr>
      </w:pPr>
    </w:p>
    <w:p w14:paraId="29000000">
      <w:pPr>
        <w:pStyle w:val="Style_3"/>
        <w:widowControl w:val="1"/>
        <w:spacing w:after="0" w:before="240"/>
        <w:ind w:left="3686"/>
        <w:rPr>
          <w:color w:themeColor="light1" w:themeShade="D9" w:val="D9D9D9"/>
        </w:rPr>
      </w:pPr>
    </w:p>
    <w:p w14:paraId="2A000000">
      <w:pPr>
        <w:pStyle w:val="Style_3"/>
        <w:widowControl w:val="1"/>
        <w:spacing w:after="0" w:before="240"/>
        <w:ind w:left="3686"/>
        <w:rPr>
          <w:color w:themeColor="light1" w:themeShade="D9" w:val="D9D9D9"/>
        </w:rPr>
      </w:pPr>
    </w:p>
    <w:p w14:paraId="2B000000">
      <w:pPr>
        <w:pStyle w:val="Style_3"/>
        <w:widowControl w:val="1"/>
        <w:spacing w:after="0" w:before="240"/>
        <w:ind w:left="3686"/>
        <w:rPr>
          <w:color w:themeColor="light1" w:themeShade="D9" w:val="D9D9D9"/>
        </w:rPr>
      </w:pPr>
    </w:p>
    <w:p w14:paraId="2C000000">
      <w:pPr>
        <w:pStyle w:val="Style_3"/>
        <w:widowControl w:val="1"/>
        <w:spacing w:after="0" w:before="240"/>
        <w:ind w:left="3686"/>
        <w:rPr>
          <w:color w:themeColor="light1" w:themeShade="D9" w:val="D9D9D9"/>
        </w:rPr>
      </w:pPr>
    </w:p>
    <w:p w14:paraId="2D000000">
      <w:pPr>
        <w:pStyle w:val="Style_2"/>
        <w:rPr>
          <w:sz w:val="22"/>
        </w:rPr>
      </w:pPr>
    </w:p>
    <w:sectPr>
      <w:headerReference r:id="rId1" w:type="default"/>
      <w:headerReference r:id="rId2" w:type="even"/>
      <w:footerReference r:id="rId3" w:type="even"/>
      <w:type w:val="nextPage"/>
      <w:pgSz w:h="16838" w:orient="portrait" w:w="11906"/>
      <w:pgMar w:bottom="1134" w:footer="680" w:gutter="0" w:header="680" w:left="1531" w:right="567" w:top="737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8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z w:val="28"/>
    </w:rPr>
  </w:style>
  <w:style w:styleId="Style_5" w:type="paragraph">
    <w:name w:val="Колонтитулы (user)"/>
    <w:basedOn w:val="Style_3"/>
    <w:link w:val="Style_5_ch"/>
  </w:style>
  <w:style w:styleId="Style_5_ch" w:type="character">
    <w:name w:val="Колонтитулы (user)"/>
    <w:basedOn w:val="Style_3_ch"/>
    <w:link w:val="Style_5"/>
  </w:style>
  <w:style w:styleId="Style_6" w:type="paragraph">
    <w:name w:val="toc 2"/>
    <w:next w:val="Style_3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Balloon Text"/>
    <w:basedOn w:val="Style_3"/>
    <w:link w:val="Style_8_ch"/>
    <w:rPr>
      <w:rFonts w:ascii="Tahoma" w:hAnsi="Tahoma"/>
      <w:sz w:val="16"/>
    </w:rPr>
  </w:style>
  <w:style w:styleId="Style_8_ch" w:type="character">
    <w:name w:val="Balloon Text"/>
    <w:basedOn w:val="Style_3_ch"/>
    <w:link w:val="Style_8"/>
    <w:rPr>
      <w:rFonts w:ascii="Tahoma" w:hAnsi="Tahoma"/>
      <w:sz w:val="16"/>
    </w:rPr>
  </w:style>
  <w:style w:styleId="Style_9" w:type="paragraph">
    <w:name w:val="toc 6"/>
    <w:next w:val="Style_3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3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Содержимое таблицы"/>
    <w:basedOn w:val="Style_3"/>
    <w:link w:val="Style_11_ch"/>
    <w:pPr>
      <w:widowControl w:val="0"/>
      <w:ind/>
    </w:pPr>
  </w:style>
  <w:style w:styleId="Style_11_ch" w:type="character">
    <w:name w:val="Содержимое таблицы"/>
    <w:basedOn w:val="Style_3_ch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Колонтитулы"/>
    <w:basedOn w:val="Style_3"/>
    <w:link w:val="Style_14_ch"/>
  </w:style>
  <w:style w:styleId="Style_14_ch" w:type="character">
    <w:name w:val="Колонтитулы"/>
    <w:basedOn w:val="Style_3_ch"/>
    <w:link w:val="Style_14"/>
  </w:style>
  <w:style w:styleId="Style_15" w:type="paragraph">
    <w:name w:val="Основной шрифт абзаца"/>
    <w:link w:val="Style_15_ch"/>
  </w:style>
  <w:style w:styleId="Style_15_ch" w:type="character">
    <w:name w:val="Основной шрифт абзаца"/>
    <w:link w:val="Style_15"/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Содержимое таблицы (user)"/>
    <w:basedOn w:val="Style_3"/>
    <w:link w:val="Style_17_ch"/>
    <w:pPr>
      <w:widowControl w:val="0"/>
      <w:ind/>
    </w:pPr>
  </w:style>
  <w:style w:styleId="Style_17_ch" w:type="character">
    <w:name w:val="Содержимое таблицы (user)"/>
    <w:basedOn w:val="Style_3_ch"/>
    <w:link w:val="Style_17"/>
  </w:style>
  <w:style w:styleId="Style_18" w:type="paragraph">
    <w:name w:val="Нижний колонтитул Знак"/>
    <w:basedOn w:val="Style_16"/>
    <w:link w:val="Style_18_ch"/>
  </w:style>
  <w:style w:styleId="Style_18_ch" w:type="character">
    <w:name w:val="Нижний колонтитул Знак"/>
    <w:basedOn w:val="Style_16_ch"/>
    <w:link w:val="Style_18"/>
  </w:style>
  <w:style w:styleId="Style_4" w:type="paragraph">
    <w:name w:val="Body Text"/>
    <w:basedOn w:val="Style_3"/>
    <w:link w:val="Style_4_ch"/>
    <w:pPr>
      <w:widowControl w:val="1"/>
      <w:spacing w:after="140" w:before="0" w:line="276" w:lineRule="auto"/>
      <w:ind/>
    </w:pPr>
  </w:style>
  <w:style w:styleId="Style_4_ch" w:type="character">
    <w:name w:val="Body Text"/>
    <w:basedOn w:val="Style_3_ch"/>
    <w:link w:val="Style_4"/>
  </w:style>
  <w:style w:styleId="Style_19" w:type="paragraph">
    <w:name w:val="Указатель (user)"/>
    <w:basedOn w:val="Style_3"/>
    <w:link w:val="Style_19_ch"/>
  </w:style>
  <w:style w:styleId="Style_19_ch" w:type="character">
    <w:name w:val="Указатель (user)"/>
    <w:basedOn w:val="Style_3_ch"/>
    <w:link w:val="Style_19"/>
  </w:style>
  <w:style w:styleId="Style_20" w:type="paragraph">
    <w:name w:val="toc 3"/>
    <w:next w:val="Style_3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heading 5"/>
    <w:next w:val="Style_3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Заголовок (user)"/>
    <w:basedOn w:val="Style_3"/>
    <w:next w:val="Style_4"/>
    <w:link w:val="Style_2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2_ch" w:type="character">
    <w:name w:val="Заголовок (user)"/>
    <w:basedOn w:val="Style_3_ch"/>
    <w:link w:val="Style_22"/>
    <w:rPr>
      <w:rFonts w:ascii="Liberation Sans" w:hAnsi="Liberation Sans"/>
      <w:sz w:val="28"/>
    </w:rPr>
  </w:style>
  <w:style w:styleId="Style_23" w:type="paragraph">
    <w:name w:val="heading 1"/>
    <w:next w:val="Style_3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6" w:type="paragraph">
    <w:name w:val="toc 1"/>
    <w:next w:val="Style_3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List Paragraph"/>
    <w:basedOn w:val="Style_3"/>
    <w:link w:val="Style_27_ch"/>
    <w:pPr>
      <w:widowControl w:val="1"/>
      <w:spacing w:after="0" w:before="0"/>
      <w:ind w:left="720"/>
      <w:contextualSpacing w:val="1"/>
    </w:pPr>
  </w:style>
  <w:style w:styleId="Style_27_ch" w:type="character">
    <w:name w:val="List Paragraph"/>
    <w:basedOn w:val="Style_3_ch"/>
    <w:link w:val="Style_27"/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Заголовок"/>
    <w:basedOn w:val="Style_3"/>
    <w:next w:val="Style_4"/>
    <w:link w:val="Style_2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9_ch" w:type="character">
    <w:name w:val="Заголовок"/>
    <w:basedOn w:val="Style_3_ch"/>
    <w:link w:val="Style_29"/>
    <w:rPr>
      <w:rFonts w:ascii="Liberation Sans" w:hAnsi="Liberation Sans"/>
      <w:sz w:val="28"/>
    </w:rPr>
  </w:style>
  <w:style w:styleId="Style_30" w:type="paragraph">
    <w:name w:val="caption"/>
    <w:basedOn w:val="Style_3"/>
    <w:link w:val="Style_30_ch"/>
    <w:pPr>
      <w:widowControl w:val="1"/>
      <w:spacing w:after="120" w:before="120"/>
      <w:ind/>
    </w:pPr>
    <w:rPr>
      <w:i w:val="1"/>
      <w:sz w:val="24"/>
    </w:rPr>
  </w:style>
  <w:style w:styleId="Style_30_ch" w:type="character">
    <w:name w:val="caption"/>
    <w:basedOn w:val="Style_3_ch"/>
    <w:link w:val="Style_30"/>
    <w:rPr>
      <w:i w:val="1"/>
      <w:sz w:val="24"/>
    </w:rPr>
  </w:style>
  <w:style w:styleId="Style_31" w:type="paragraph">
    <w:name w:val="Указатель"/>
    <w:basedOn w:val="Style_3"/>
    <w:link w:val="Style_31_ch"/>
  </w:style>
  <w:style w:styleId="Style_31_ch" w:type="character">
    <w:name w:val="Указатель"/>
    <w:basedOn w:val="Style_3_ch"/>
    <w:link w:val="Style_31"/>
  </w:style>
  <w:style w:styleId="Style_32" w:type="paragraph">
    <w:name w:val="toc 9"/>
    <w:next w:val="Style_3"/>
    <w:link w:val="Style_3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List"/>
    <w:basedOn w:val="Style_4"/>
    <w:link w:val="Style_33_ch"/>
  </w:style>
  <w:style w:styleId="Style_33_ch" w:type="character">
    <w:name w:val="List"/>
    <w:basedOn w:val="Style_4_ch"/>
    <w:link w:val="Style_33"/>
  </w:style>
  <w:style w:styleId="Style_34" w:type="paragraph">
    <w:name w:val="toc 8"/>
    <w:next w:val="Style_3"/>
    <w:link w:val="Style_3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3_ch"/>
    <w:link w:val="Style_2"/>
  </w:style>
  <w:style w:styleId="Style_35" w:type="paragraph">
    <w:name w:val="toc 5"/>
    <w:next w:val="Style_3"/>
    <w:link w:val="Style_3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Заголовок таблицы (user)"/>
    <w:basedOn w:val="Style_17"/>
    <w:link w:val="Style_36_ch"/>
    <w:pPr>
      <w:widowControl w:val="1"/>
      <w:ind/>
      <w:jc w:val="center"/>
    </w:pPr>
    <w:rPr>
      <w:b w:val="1"/>
    </w:rPr>
  </w:style>
  <w:style w:styleId="Style_36_ch" w:type="character">
    <w:name w:val="Заголовок таблицы (user)"/>
    <w:basedOn w:val="Style_17_ch"/>
    <w:link w:val="Style_36"/>
    <w:rPr>
      <w:b w:val="1"/>
    </w:rPr>
  </w:style>
  <w:style w:styleId="Style_37" w:type="paragraph">
    <w:name w:val="Содержимое врезки"/>
    <w:basedOn w:val="Style_3"/>
    <w:link w:val="Style_37_ch"/>
  </w:style>
  <w:style w:styleId="Style_37_ch" w:type="character">
    <w:name w:val="Содержимое врезки"/>
    <w:basedOn w:val="Style_3_ch"/>
    <w:link w:val="Style_37"/>
  </w:style>
  <w:style w:styleId="Style_38" w:type="paragraph">
    <w:name w:val="Заголовок таблицы"/>
    <w:basedOn w:val="Style_11"/>
    <w:link w:val="Style_38_ch"/>
    <w:pPr>
      <w:widowControl w:val="1"/>
      <w:ind/>
      <w:jc w:val="center"/>
    </w:pPr>
    <w:rPr>
      <w:b w:val="1"/>
    </w:rPr>
  </w:style>
  <w:style w:styleId="Style_38_ch" w:type="character">
    <w:name w:val="Заголовок таблицы"/>
    <w:basedOn w:val="Style_11_ch"/>
    <w:link w:val="Style_38"/>
    <w:rPr>
      <w:b w:val="1"/>
    </w:rPr>
  </w:style>
  <w:style w:styleId="Style_39" w:type="paragraph">
    <w:name w:val="Subtitle"/>
    <w:next w:val="Style_3"/>
    <w:link w:val="Style_3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Содержимое врезки (user)"/>
    <w:basedOn w:val="Style_3"/>
    <w:link w:val="Style_40_ch"/>
  </w:style>
  <w:style w:styleId="Style_40_ch" w:type="character">
    <w:name w:val="Содержимое врезки (user)"/>
    <w:basedOn w:val="Style_3_ch"/>
    <w:link w:val="Style_40"/>
  </w:style>
  <w:style w:styleId="Style_41" w:type="paragraph">
    <w:name w:val="Title"/>
    <w:next w:val="Style_3"/>
    <w:link w:val="Style_4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1_ch" w:type="character">
    <w:name w:val="Title"/>
    <w:link w:val="Style_41"/>
    <w:rPr>
      <w:rFonts w:ascii="XO Thames" w:hAnsi="XO Thames"/>
      <w:b w:val="1"/>
      <w:caps w:val="1"/>
      <w:sz w:val="40"/>
    </w:rPr>
  </w:style>
  <w:style w:styleId="Style_42" w:type="paragraph">
    <w:name w:val="heading 4"/>
    <w:next w:val="Style_3"/>
    <w:link w:val="Style_4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Верхний колонтитул Знак"/>
    <w:basedOn w:val="Style_16"/>
    <w:link w:val="Style_43_ch"/>
  </w:style>
  <w:style w:styleId="Style_43_ch" w:type="character">
    <w:name w:val="Верхний колонтитул Знак"/>
    <w:basedOn w:val="Style_16_ch"/>
    <w:link w:val="Style_43"/>
  </w:style>
  <w:style w:styleId="Style_44" w:type="paragraph">
    <w:name w:val="heading 2"/>
    <w:next w:val="Style_3"/>
    <w:link w:val="Style_4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2022-02-03T09:53:00Z</dcterms:created>
  <dcterms:modified xsi:type="dcterms:W3CDTF">2026-10-26T03:35:12Z</dcterms:modified>
</cp:coreProperties>
</file>