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0AD96" w14:textId="77777777" w:rsidR="00C55741" w:rsidRPr="007E54F1" w:rsidRDefault="00C55741" w:rsidP="00C55741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E54F1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66B005D8" w14:textId="77777777" w:rsidR="00C55741" w:rsidRPr="007E54F1" w:rsidRDefault="00C55741" w:rsidP="00C55741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E54F1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09DD0BB6" w14:textId="77777777" w:rsidR="00C55741" w:rsidRPr="007E54F1" w:rsidRDefault="00C55741" w:rsidP="00C55741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E54F1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0016E93D" w14:textId="77777777" w:rsidR="00C55741" w:rsidRPr="007E54F1" w:rsidRDefault="00C55741" w:rsidP="00C55741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E54F1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09FE6B68" w14:textId="77777777" w:rsidR="00C55741" w:rsidRPr="007E54F1" w:rsidRDefault="00C55741" w:rsidP="00C55741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006B28A3" w14:textId="77777777" w:rsidR="00C55741" w:rsidRPr="007E54F1" w:rsidRDefault="00C55741" w:rsidP="00C55741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E54F1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2A02AAA9" w14:textId="77777777" w:rsidR="00C55741" w:rsidRPr="007E54F1" w:rsidRDefault="00C55741" w:rsidP="00C55741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4359D494" w14:textId="56843EC7" w:rsidR="00C55741" w:rsidRPr="007E54F1" w:rsidRDefault="007E54F1" w:rsidP="00C55741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 xml:space="preserve">    </w:t>
      </w:r>
      <w:r w:rsidR="00915BAE">
        <w:rPr>
          <w:rFonts w:ascii="Times New Roman" w:eastAsia="Calibri" w:hAnsi="Times New Roman" w:cs="Times New Roman"/>
          <w:b/>
          <w:lang w:val="ru-RU" w:bidi="ar-SA"/>
        </w:rPr>
        <w:t>26</w:t>
      </w:r>
      <w:r w:rsidR="00392B80" w:rsidRPr="007E54F1"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 w:rsidR="00915BAE">
        <w:rPr>
          <w:rFonts w:ascii="Times New Roman" w:eastAsia="Calibri" w:hAnsi="Times New Roman" w:cs="Times New Roman"/>
          <w:b/>
          <w:lang w:val="ru-RU" w:bidi="ar-SA"/>
        </w:rPr>
        <w:t>февраля</w:t>
      </w:r>
      <w:r w:rsidR="00C55741" w:rsidRPr="007E54F1">
        <w:rPr>
          <w:rFonts w:ascii="Times New Roman" w:eastAsia="Calibri" w:hAnsi="Times New Roman" w:cs="Times New Roman"/>
          <w:b/>
          <w:lang w:val="ru-RU" w:bidi="ar-SA"/>
        </w:rPr>
        <w:t xml:space="preserve"> 202</w:t>
      </w:r>
      <w:r w:rsidR="00915BAE">
        <w:rPr>
          <w:rFonts w:ascii="Times New Roman" w:eastAsia="Calibri" w:hAnsi="Times New Roman" w:cs="Times New Roman"/>
          <w:b/>
          <w:lang w:val="ru-RU" w:bidi="ar-SA"/>
        </w:rPr>
        <w:t>5</w:t>
      </w:r>
      <w:r w:rsidR="00C55741" w:rsidRPr="007E54F1">
        <w:rPr>
          <w:rFonts w:ascii="Times New Roman" w:eastAsia="Calibri" w:hAnsi="Times New Roman" w:cs="Times New Roman"/>
          <w:b/>
          <w:lang w:val="ru-RU" w:bidi="ar-SA"/>
        </w:rPr>
        <w:t xml:space="preserve"> г.  </w:t>
      </w:r>
      <w:r w:rsidR="00392B80" w:rsidRPr="007E54F1">
        <w:rPr>
          <w:rFonts w:ascii="Times New Roman" w:eastAsia="Calibri" w:hAnsi="Times New Roman" w:cs="Times New Roman"/>
          <w:b/>
          <w:lang w:val="ru-RU" w:bidi="ar-SA"/>
        </w:rPr>
        <w:t xml:space="preserve">     </w:t>
      </w:r>
      <w:r w:rsidR="00C55741" w:rsidRPr="007E54F1">
        <w:rPr>
          <w:rFonts w:ascii="Times New Roman" w:eastAsia="Calibri" w:hAnsi="Times New Roman" w:cs="Times New Roman"/>
          <w:b/>
          <w:lang w:val="ru-RU" w:bidi="ar-SA"/>
        </w:rPr>
        <w:t xml:space="preserve">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      </w:t>
      </w:r>
      <w:r w:rsidR="00C55741" w:rsidRPr="007E54F1">
        <w:rPr>
          <w:rFonts w:ascii="Times New Roman" w:eastAsia="Calibri" w:hAnsi="Times New Roman" w:cs="Times New Roman"/>
          <w:b/>
          <w:lang w:val="ru-RU" w:bidi="ar-SA"/>
        </w:rPr>
        <w:t xml:space="preserve">п. Кропоткин   </w:t>
      </w:r>
      <w:r w:rsidR="00354981" w:rsidRPr="007E54F1">
        <w:rPr>
          <w:rFonts w:ascii="Times New Roman" w:eastAsia="Calibri" w:hAnsi="Times New Roman" w:cs="Times New Roman"/>
          <w:b/>
          <w:lang w:val="ru-RU" w:bidi="ar-SA"/>
        </w:rPr>
        <w:t xml:space="preserve">                  </w:t>
      </w:r>
      <w:r w:rsidR="00915BAE">
        <w:rPr>
          <w:rFonts w:ascii="Times New Roman" w:eastAsia="Calibri" w:hAnsi="Times New Roman" w:cs="Times New Roman"/>
          <w:b/>
          <w:lang w:val="ru-RU" w:bidi="ar-SA"/>
        </w:rPr>
        <w:t xml:space="preserve">           </w:t>
      </w:r>
      <w:r w:rsidR="00354981" w:rsidRPr="007E54F1">
        <w:rPr>
          <w:rFonts w:ascii="Times New Roman" w:eastAsia="Calibri" w:hAnsi="Times New Roman" w:cs="Times New Roman"/>
          <w:b/>
          <w:lang w:val="ru-RU" w:bidi="ar-SA"/>
        </w:rPr>
        <w:t xml:space="preserve">           № </w:t>
      </w:r>
      <w:r w:rsidR="00D73DEC">
        <w:rPr>
          <w:rFonts w:ascii="Times New Roman" w:eastAsia="Calibri" w:hAnsi="Times New Roman" w:cs="Times New Roman"/>
          <w:b/>
          <w:lang w:val="ru-RU" w:bidi="ar-SA"/>
        </w:rPr>
        <w:t>29</w:t>
      </w:r>
      <w:r w:rsidR="00C55741" w:rsidRPr="007E54F1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683D13F5" w14:textId="77777777" w:rsidR="00C55741" w:rsidRPr="007E54F1" w:rsidRDefault="00C55741" w:rsidP="00C55741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0A338C9A" w14:textId="77777777" w:rsidR="00C55741" w:rsidRPr="007E54F1" w:rsidRDefault="00C55741" w:rsidP="00C55741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4C10B12E" w14:textId="64BBD066" w:rsidR="00C55741" w:rsidRPr="007E54F1" w:rsidRDefault="00C55741" w:rsidP="00C55741">
      <w:pPr>
        <w:rPr>
          <w:rFonts w:ascii="Times New Roman" w:eastAsia="Calibri" w:hAnsi="Times New Roman" w:cs="Times New Roman"/>
          <w:b/>
          <w:lang w:val="ru-RU" w:bidi="ar-SA"/>
        </w:rPr>
      </w:pPr>
      <w:r w:rsidRPr="007E54F1">
        <w:rPr>
          <w:rFonts w:ascii="Times New Roman" w:eastAsia="Calibri" w:hAnsi="Times New Roman" w:cs="Times New Roman"/>
          <w:b/>
          <w:lang w:val="ru-RU" w:bidi="ar-SA"/>
        </w:rPr>
        <w:t xml:space="preserve">О подготовке документации </w:t>
      </w:r>
    </w:p>
    <w:p w14:paraId="7C9FD6FE" w14:textId="4E76F767" w:rsidR="00C55741" w:rsidRPr="007E54F1" w:rsidRDefault="00C55741" w:rsidP="00C55741">
      <w:pPr>
        <w:rPr>
          <w:rFonts w:ascii="Times New Roman" w:eastAsia="Calibri" w:hAnsi="Times New Roman" w:cs="Times New Roman"/>
          <w:b/>
          <w:lang w:val="ru-RU" w:bidi="ar-SA"/>
        </w:rPr>
      </w:pPr>
      <w:r w:rsidRPr="007E54F1">
        <w:rPr>
          <w:rFonts w:ascii="Times New Roman" w:eastAsia="Calibri" w:hAnsi="Times New Roman" w:cs="Times New Roman"/>
          <w:b/>
          <w:lang w:val="ru-RU" w:bidi="ar-SA"/>
        </w:rPr>
        <w:t xml:space="preserve">по планировке территории, </w:t>
      </w:r>
    </w:p>
    <w:p w14:paraId="61775851" w14:textId="77777777" w:rsidR="00915BAE" w:rsidRDefault="00C55741" w:rsidP="00C55741">
      <w:pPr>
        <w:rPr>
          <w:rFonts w:ascii="Times New Roman" w:eastAsia="Calibri" w:hAnsi="Times New Roman" w:cs="Times New Roman"/>
          <w:b/>
          <w:lang w:val="ru-RU" w:bidi="ar-SA"/>
        </w:rPr>
      </w:pPr>
      <w:r w:rsidRPr="007E54F1">
        <w:rPr>
          <w:rFonts w:ascii="Times New Roman" w:eastAsia="Calibri" w:hAnsi="Times New Roman" w:cs="Times New Roman"/>
          <w:b/>
          <w:lang w:val="ru-RU" w:bidi="ar-SA"/>
        </w:rPr>
        <w:t xml:space="preserve">предусматривающей размещение </w:t>
      </w:r>
    </w:p>
    <w:p w14:paraId="1B07C0D7" w14:textId="13974A78" w:rsidR="00C55741" w:rsidRPr="007E54F1" w:rsidRDefault="00915BAE" w:rsidP="00C55741">
      <w:pPr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 xml:space="preserve">линейного </w:t>
      </w:r>
      <w:r w:rsidR="00C55741" w:rsidRPr="007E54F1">
        <w:rPr>
          <w:rFonts w:ascii="Times New Roman" w:eastAsia="Calibri" w:hAnsi="Times New Roman" w:cs="Times New Roman"/>
          <w:b/>
          <w:lang w:val="ru-RU" w:bidi="ar-SA"/>
        </w:rPr>
        <w:t xml:space="preserve">объекта </w:t>
      </w:r>
    </w:p>
    <w:p w14:paraId="137DC79C" w14:textId="77777777" w:rsidR="00C55741" w:rsidRPr="007E54F1" w:rsidRDefault="00C55741" w:rsidP="00C55741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5B5F546E" w14:textId="09F4E7FF" w:rsidR="00C55741" w:rsidRPr="007E54F1" w:rsidRDefault="00C55741" w:rsidP="00C55741">
      <w:pPr>
        <w:ind w:firstLine="708"/>
        <w:jc w:val="both"/>
        <w:rPr>
          <w:rFonts w:ascii="Times New Roman" w:eastAsia="Calibri" w:hAnsi="Times New Roman" w:cs="Times New Roman"/>
          <w:lang w:val="ru-RU" w:bidi="ar-SA"/>
        </w:rPr>
      </w:pPr>
      <w:r w:rsidRPr="007E54F1">
        <w:rPr>
          <w:rFonts w:ascii="Times New Roman" w:hAnsi="Times New Roman" w:cs="Times New Roman"/>
          <w:color w:val="000000"/>
          <w:lang w:val="ru-RU"/>
        </w:rPr>
        <w:t xml:space="preserve">Рассмотрев заявление </w:t>
      </w:r>
      <w:r w:rsidR="00915BAE">
        <w:rPr>
          <w:rFonts w:ascii="Times New Roman" w:hAnsi="Times New Roman" w:cs="Times New Roman"/>
          <w:color w:val="000000"/>
          <w:lang w:val="ru-RU"/>
        </w:rPr>
        <w:t xml:space="preserve">акционерного </w:t>
      </w:r>
      <w:r w:rsidRPr="007E54F1">
        <w:rPr>
          <w:rFonts w:ascii="Times New Roman" w:hAnsi="Times New Roman" w:cs="Times New Roman"/>
          <w:color w:val="000000"/>
          <w:lang w:val="ru-RU"/>
        </w:rPr>
        <w:t xml:space="preserve">общества </w:t>
      </w:r>
      <w:r w:rsidR="00915BAE">
        <w:rPr>
          <w:rFonts w:ascii="Times New Roman" w:hAnsi="Times New Roman" w:cs="Times New Roman"/>
          <w:color w:val="000000"/>
          <w:lang w:val="ru-RU"/>
        </w:rPr>
        <w:t>«Витимэнерго»</w:t>
      </w:r>
      <w:r w:rsidRPr="007E54F1">
        <w:rPr>
          <w:rFonts w:ascii="Times New Roman" w:eastAsia="Calibri" w:hAnsi="Times New Roman" w:cs="Times New Roman"/>
          <w:lang w:val="ru-RU" w:bidi="ar-SA"/>
        </w:rPr>
        <w:t xml:space="preserve">, руководствуясь ст.ст. 45, 46 Градостроительного кодекса Российской Федерации, </w:t>
      </w:r>
      <w:r w:rsidRPr="007E54F1">
        <w:rPr>
          <w:rFonts w:ascii="Times New Roman" w:hAnsi="Times New Roman" w:cs="Times New Roman"/>
          <w:color w:val="000000"/>
          <w:lang w:val="ru-RU" w:eastAsia="ru-RU" w:bidi="ar-SA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7E54F1">
        <w:rPr>
          <w:rFonts w:ascii="Times New Roman" w:eastAsia="Calibri" w:hAnsi="Times New Roman" w:cs="Times New Roman"/>
          <w:lang w:val="ru-RU" w:bidi="ar-SA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7336F8F8" w14:textId="77777777" w:rsidR="00C55741" w:rsidRPr="007E54F1" w:rsidRDefault="00C55741" w:rsidP="007E54F1">
      <w:pPr>
        <w:ind w:firstLine="708"/>
        <w:jc w:val="both"/>
        <w:rPr>
          <w:rFonts w:ascii="Times New Roman" w:hAnsi="Times New Roman" w:cs="Times New Roman"/>
          <w:b/>
          <w:color w:val="000000"/>
          <w:lang w:val="ru-RU"/>
        </w:rPr>
      </w:pPr>
      <w:r w:rsidRPr="007E54F1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1EFA2959" w14:textId="289D3C29" w:rsidR="00C55741" w:rsidRDefault="00C55741" w:rsidP="00C55741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7E54F1">
        <w:rPr>
          <w:rFonts w:ascii="Times New Roman" w:hAnsi="Times New Roman" w:cs="Times New Roman"/>
          <w:color w:val="000000"/>
          <w:lang w:val="ru-RU"/>
        </w:rPr>
        <w:t xml:space="preserve">            1. Разрешить </w:t>
      </w:r>
      <w:r w:rsidR="00915BAE">
        <w:rPr>
          <w:rFonts w:ascii="Times New Roman" w:hAnsi="Times New Roman" w:cs="Times New Roman"/>
          <w:color w:val="000000"/>
          <w:lang w:val="ru-RU"/>
        </w:rPr>
        <w:t xml:space="preserve">акционерному </w:t>
      </w:r>
      <w:r w:rsidRPr="007E54F1">
        <w:rPr>
          <w:rFonts w:ascii="Times New Roman" w:hAnsi="Times New Roman" w:cs="Times New Roman"/>
          <w:color w:val="000000"/>
          <w:lang w:val="ru-RU"/>
        </w:rPr>
        <w:t>обществу</w:t>
      </w:r>
      <w:r w:rsidR="00915BAE">
        <w:rPr>
          <w:rFonts w:ascii="Times New Roman" w:hAnsi="Times New Roman" w:cs="Times New Roman"/>
          <w:color w:val="000000"/>
          <w:lang w:val="ru-RU"/>
        </w:rPr>
        <w:t xml:space="preserve"> «Витимэнерго</w:t>
      </w:r>
      <w:r w:rsidRPr="007E54F1">
        <w:rPr>
          <w:rFonts w:ascii="Times New Roman" w:hAnsi="Times New Roman" w:cs="Times New Roman"/>
          <w:color w:val="000000"/>
          <w:lang w:val="ru-RU"/>
        </w:rPr>
        <w:t>» подготовку</w:t>
      </w:r>
      <w:r w:rsidRPr="007E54F1">
        <w:rPr>
          <w:rFonts w:ascii="Times New Roman" w:hAnsi="Times New Roman" w:cs="Times New Roman"/>
          <w:bCs/>
          <w:color w:val="000000"/>
          <w:lang w:val="ru-RU"/>
        </w:rPr>
        <w:t xml:space="preserve"> документации по планировк</w:t>
      </w:r>
      <w:r w:rsidR="007E54F1" w:rsidRPr="007E54F1">
        <w:rPr>
          <w:rFonts w:ascii="Times New Roman" w:hAnsi="Times New Roman" w:cs="Times New Roman"/>
          <w:bCs/>
          <w:color w:val="000000"/>
          <w:lang w:val="ru-RU"/>
        </w:rPr>
        <w:t>е</w:t>
      </w:r>
      <w:r w:rsidRPr="007E54F1">
        <w:rPr>
          <w:rFonts w:ascii="Times New Roman" w:hAnsi="Times New Roman" w:cs="Times New Roman"/>
          <w:bCs/>
          <w:color w:val="000000"/>
          <w:lang w:val="ru-RU"/>
        </w:rPr>
        <w:t xml:space="preserve"> территории</w:t>
      </w:r>
      <w:r w:rsidRPr="007E54F1">
        <w:rPr>
          <w:rFonts w:ascii="Times New Roman" w:hAnsi="Times New Roman" w:cs="Times New Roman"/>
          <w:color w:val="000000"/>
          <w:lang w:val="ru-RU"/>
        </w:rPr>
        <w:t xml:space="preserve">, предусматривающей размещение </w:t>
      </w:r>
      <w:r w:rsidR="00915BAE">
        <w:rPr>
          <w:rFonts w:ascii="Times New Roman" w:hAnsi="Times New Roman" w:cs="Times New Roman"/>
          <w:color w:val="000000"/>
          <w:lang w:val="ru-RU"/>
        </w:rPr>
        <w:t xml:space="preserve">линейного </w:t>
      </w:r>
      <w:r w:rsidRPr="007E54F1">
        <w:rPr>
          <w:rFonts w:ascii="Times New Roman" w:hAnsi="Times New Roman" w:cs="Times New Roman"/>
          <w:color w:val="000000"/>
          <w:lang w:val="ru-RU"/>
        </w:rPr>
        <w:t>объекта</w:t>
      </w:r>
      <w:r w:rsidR="00915BAE">
        <w:rPr>
          <w:rFonts w:ascii="Times New Roman" w:hAnsi="Times New Roman" w:cs="Times New Roman"/>
          <w:color w:val="000000"/>
          <w:lang w:val="ru-RU"/>
        </w:rPr>
        <w:t xml:space="preserve"> </w:t>
      </w:r>
      <w:r w:rsidR="00915BAE" w:rsidRPr="00915BAE">
        <w:rPr>
          <w:rFonts w:ascii="Times New Roman" w:hAnsi="Times New Roman" w:cs="Times New Roman"/>
          <w:lang w:val="ru-RU"/>
        </w:rPr>
        <w:t xml:space="preserve">«Строительство ВЛ 110 кВ от ПС 220 кВ Сухой Лог до опоры </w:t>
      </w:r>
      <w:r w:rsidR="00915BAE">
        <w:rPr>
          <w:rFonts w:ascii="Times New Roman" w:hAnsi="Times New Roman" w:cs="Times New Roman"/>
          <w:lang w:val="ru-RU"/>
        </w:rPr>
        <w:t>№</w:t>
      </w:r>
      <w:r w:rsidR="00915BAE" w:rsidRPr="00915BAE">
        <w:rPr>
          <w:rFonts w:ascii="Times New Roman" w:hAnsi="Times New Roman" w:cs="Times New Roman"/>
          <w:lang w:val="ru-RU"/>
        </w:rPr>
        <w:t xml:space="preserve"> 1 ВЛ 110 кВ Сухой Лог-ГОК Светловский с установкой пункта коммерческого учёта электроэнергии»</w:t>
      </w:r>
      <w:r w:rsidRPr="007E54F1">
        <w:rPr>
          <w:rFonts w:ascii="Times New Roman" w:hAnsi="Times New Roman" w:cs="Times New Roman"/>
          <w:lang w:val="ru-RU"/>
        </w:rPr>
        <w:t xml:space="preserve"> </w:t>
      </w:r>
      <w:r w:rsidRPr="007E54F1">
        <w:rPr>
          <w:rFonts w:ascii="Times New Roman" w:hAnsi="Times New Roman" w:cs="Times New Roman"/>
          <w:color w:val="000000"/>
          <w:lang w:val="ru-RU" w:eastAsia="ru-RU" w:bidi="ar-SA"/>
        </w:rPr>
        <w:t>расположенного</w:t>
      </w:r>
      <w:r w:rsidRPr="007E54F1">
        <w:rPr>
          <w:rFonts w:ascii="Times New Roman" w:hAnsi="Times New Roman" w:cs="Times New Roman"/>
          <w:color w:val="000000"/>
          <w:lang w:val="ru-RU"/>
        </w:rPr>
        <w:t xml:space="preserve"> на территории Кропоткинского городского поселения.</w:t>
      </w:r>
    </w:p>
    <w:p w14:paraId="6D76E4AF" w14:textId="5AF359CA" w:rsidR="00501106" w:rsidRPr="00501106" w:rsidRDefault="00501106" w:rsidP="00C55741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          2</w:t>
      </w:r>
      <w:r w:rsidRPr="00501106">
        <w:rPr>
          <w:rFonts w:ascii="Times New Roman" w:hAnsi="Times New Roman" w:cs="Times New Roman"/>
          <w:color w:val="000000"/>
          <w:lang w:val="ru-RU"/>
        </w:rPr>
        <w:t>.   Утвердить задание</w:t>
      </w:r>
      <w:r w:rsidRPr="00501106">
        <w:rPr>
          <w:rFonts w:ascii="Times New Roman" w:hAnsi="Times New Roman" w:cs="Times New Roman"/>
          <w:lang w:val="ru-RU"/>
        </w:rPr>
        <w:t xml:space="preserve"> на разработку документации по планировке территории, предусматривающую размещение объекта</w:t>
      </w:r>
      <w:r>
        <w:rPr>
          <w:rFonts w:ascii="Times New Roman" w:hAnsi="Times New Roman" w:cs="Times New Roman"/>
          <w:lang w:val="ru-RU"/>
        </w:rPr>
        <w:t xml:space="preserve"> </w:t>
      </w:r>
      <w:r w:rsidRPr="00501106">
        <w:rPr>
          <w:rFonts w:ascii="Times New Roman" w:hAnsi="Times New Roman" w:cs="Times New Roman"/>
          <w:lang w:val="ru-RU"/>
        </w:rPr>
        <w:t>«Строительство ВЛ 110 кВ от ПС 220 кВ Сухой Лог до опоры № 1 ВЛ 110 кВ Сухой Лог – ГОК Светловский с установкой пункта коммерческого учета электроэнергии»</w:t>
      </w:r>
      <w:r>
        <w:rPr>
          <w:rFonts w:ascii="Times New Roman" w:hAnsi="Times New Roman" w:cs="Times New Roman"/>
          <w:lang w:val="ru-RU"/>
        </w:rPr>
        <w:t xml:space="preserve"> согласно Приложения.</w:t>
      </w:r>
    </w:p>
    <w:p w14:paraId="7E10FA7E" w14:textId="7E5D5AB8" w:rsidR="00C55741" w:rsidRPr="00501106" w:rsidRDefault="00C55741" w:rsidP="00C55741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7E54F1">
        <w:rPr>
          <w:rFonts w:ascii="Times New Roman" w:hAnsi="Times New Roman" w:cs="Times New Roman"/>
          <w:color w:val="000000"/>
          <w:lang w:val="ru-RU"/>
        </w:rPr>
        <w:t xml:space="preserve">             </w:t>
      </w:r>
      <w:r w:rsidR="00501106">
        <w:rPr>
          <w:rFonts w:ascii="Times New Roman" w:hAnsi="Times New Roman" w:cs="Times New Roman"/>
          <w:color w:val="000000"/>
          <w:lang w:val="ru-RU"/>
        </w:rPr>
        <w:t>3</w:t>
      </w:r>
      <w:r w:rsidRPr="007E54F1">
        <w:rPr>
          <w:rFonts w:ascii="Times New Roman" w:hAnsi="Times New Roman" w:cs="Times New Roman"/>
          <w:color w:val="000000"/>
          <w:lang w:val="ru-RU"/>
        </w:rPr>
        <w:t xml:space="preserve">.  </w:t>
      </w:r>
      <w:r w:rsidRPr="007E54F1">
        <w:rPr>
          <w:rFonts w:ascii="Times New Roman" w:hAnsi="Times New Roman" w:cs="Times New Roman"/>
          <w:lang w:val="ru-RU"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7E54F1">
        <w:rPr>
          <w:rFonts w:ascii="Times New Roman" w:hAnsi="Times New Roman" w:cs="Times New Roman"/>
          <w:color w:val="000000"/>
          <w:lang w:val="ru-RU"/>
        </w:rPr>
        <w:t xml:space="preserve"> </w:t>
      </w:r>
      <w:hyperlink r:id="rId4" w:history="1">
        <w:r w:rsidRPr="007E54F1">
          <w:rPr>
            <w:rStyle w:val="a3"/>
            <w:rFonts w:ascii="Times New Roman" w:hAnsi="Times New Roman" w:cs="Times New Roman"/>
          </w:rPr>
          <w:t>www</w:t>
        </w:r>
        <w:r w:rsidRPr="007E54F1">
          <w:rPr>
            <w:rStyle w:val="a3"/>
            <w:rFonts w:ascii="Times New Roman" w:hAnsi="Times New Roman" w:cs="Times New Roman"/>
            <w:lang w:val="ru-RU"/>
          </w:rPr>
          <w:t>.кропоткин-адм.рф</w:t>
        </w:r>
      </w:hyperlink>
      <w:r w:rsidRPr="007E54F1">
        <w:rPr>
          <w:rFonts w:ascii="Times New Roman" w:hAnsi="Times New Roman" w:cs="Times New Roman"/>
          <w:u w:val="single"/>
          <w:lang w:val="ru-RU" w:eastAsia="ru-RU"/>
        </w:rPr>
        <w:t>.</w:t>
      </w:r>
    </w:p>
    <w:p w14:paraId="6C66B8B2" w14:textId="77777777" w:rsidR="00C55741" w:rsidRPr="007E54F1" w:rsidRDefault="00C55741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7E54F1">
        <w:rPr>
          <w:rFonts w:ascii="Times New Roman" w:hAnsi="Times New Roman" w:cs="Times New Roman"/>
          <w:color w:val="000000"/>
          <w:lang w:val="ru-RU"/>
        </w:rPr>
        <w:t xml:space="preserve">          </w:t>
      </w:r>
    </w:p>
    <w:p w14:paraId="12373D18" w14:textId="77777777" w:rsidR="00C55741" w:rsidRPr="007E54F1" w:rsidRDefault="00C55741" w:rsidP="00C55741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7E54F1">
        <w:rPr>
          <w:rFonts w:ascii="Times New Roman" w:hAnsi="Times New Roman" w:cs="Times New Roman"/>
          <w:color w:val="000000"/>
          <w:lang w:val="ru-RU"/>
        </w:rPr>
        <w:t xml:space="preserve">       </w:t>
      </w:r>
    </w:p>
    <w:p w14:paraId="6C2F7FE8" w14:textId="71FF7A4E" w:rsidR="00C55741" w:rsidRPr="007E54F1" w:rsidRDefault="007E54F1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7E54F1">
        <w:rPr>
          <w:rFonts w:ascii="Times New Roman" w:hAnsi="Times New Roman" w:cs="Times New Roman"/>
          <w:color w:val="000000"/>
          <w:lang w:val="ru-RU"/>
        </w:rPr>
        <w:t xml:space="preserve">   </w:t>
      </w:r>
      <w:r w:rsidR="00C55741" w:rsidRPr="007E54F1">
        <w:rPr>
          <w:rFonts w:ascii="Times New Roman" w:hAnsi="Times New Roman" w:cs="Times New Roman"/>
          <w:color w:val="000000"/>
          <w:lang w:val="ru-RU"/>
        </w:rPr>
        <w:t xml:space="preserve">Глава администрации </w:t>
      </w:r>
    </w:p>
    <w:p w14:paraId="754ADE57" w14:textId="40BFCC84" w:rsidR="00C55741" w:rsidRPr="007E54F1" w:rsidRDefault="007E54F1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7E54F1">
        <w:rPr>
          <w:rFonts w:ascii="Times New Roman" w:hAnsi="Times New Roman" w:cs="Times New Roman"/>
          <w:color w:val="000000"/>
          <w:lang w:val="ru-RU"/>
        </w:rPr>
        <w:t xml:space="preserve">   </w:t>
      </w:r>
      <w:r w:rsidR="00C55741" w:rsidRPr="007E54F1">
        <w:rPr>
          <w:rFonts w:ascii="Times New Roman" w:hAnsi="Times New Roman" w:cs="Times New Roman"/>
          <w:color w:val="000000"/>
          <w:lang w:val="ru-RU"/>
        </w:rPr>
        <w:t>Кропоткинского</w:t>
      </w:r>
    </w:p>
    <w:p w14:paraId="5440A192" w14:textId="6486DC0D" w:rsidR="00C55741" w:rsidRDefault="007E54F1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7E54F1">
        <w:rPr>
          <w:rFonts w:ascii="Times New Roman" w:hAnsi="Times New Roman" w:cs="Times New Roman"/>
          <w:color w:val="000000"/>
          <w:lang w:val="ru-RU"/>
        </w:rPr>
        <w:t xml:space="preserve">   </w:t>
      </w:r>
      <w:r w:rsidR="00C55741" w:rsidRPr="007E54F1">
        <w:rPr>
          <w:rFonts w:ascii="Times New Roman" w:hAnsi="Times New Roman" w:cs="Times New Roman"/>
          <w:color w:val="000000"/>
          <w:lang w:val="ru-RU"/>
        </w:rPr>
        <w:t xml:space="preserve">городского поселения          </w:t>
      </w:r>
      <w:r>
        <w:rPr>
          <w:rFonts w:ascii="Times New Roman" w:hAnsi="Times New Roman" w:cs="Times New Roman"/>
          <w:color w:val="000000"/>
          <w:lang w:val="ru-RU"/>
        </w:rPr>
        <w:t xml:space="preserve">     </w:t>
      </w:r>
      <w:r w:rsidR="00C55741" w:rsidRPr="007E54F1">
        <w:rPr>
          <w:rFonts w:ascii="Times New Roman" w:hAnsi="Times New Roman" w:cs="Times New Roman"/>
          <w:color w:val="000000"/>
          <w:lang w:val="ru-RU"/>
        </w:rPr>
        <w:t xml:space="preserve">                </w:t>
      </w:r>
      <w:r w:rsidRPr="007E54F1">
        <w:rPr>
          <w:rFonts w:ascii="Times New Roman" w:hAnsi="Times New Roman" w:cs="Times New Roman"/>
          <w:color w:val="000000"/>
          <w:lang w:val="ru-RU"/>
        </w:rPr>
        <w:t xml:space="preserve">  </w:t>
      </w:r>
      <w:r w:rsidR="00C55741" w:rsidRPr="007E54F1">
        <w:rPr>
          <w:rFonts w:ascii="Times New Roman" w:hAnsi="Times New Roman" w:cs="Times New Roman"/>
          <w:color w:val="000000"/>
          <w:lang w:val="ru-RU"/>
        </w:rPr>
        <w:t xml:space="preserve">                             Коробов О.В.</w:t>
      </w:r>
    </w:p>
    <w:p w14:paraId="24B4D736" w14:textId="48B0E917" w:rsidR="00D60C37" w:rsidRDefault="00D60C37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45EAF338" w14:textId="61817958" w:rsidR="00D60C37" w:rsidRDefault="00D60C37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3F19022E" w14:textId="3D75770D" w:rsidR="00D60C37" w:rsidRDefault="00D60C37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5E650D7B" w14:textId="65C306C4" w:rsidR="00D60C37" w:rsidRDefault="00D60C37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05E77A4D" w14:textId="1C4BA16F" w:rsidR="00D60C37" w:rsidRDefault="00D60C37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1C7CE16A" w14:textId="7DE05AEC" w:rsidR="00D60C37" w:rsidRDefault="00D60C37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230D1183" w14:textId="47659925" w:rsidR="00D60C37" w:rsidRDefault="00D60C37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1FB0F004" w14:textId="61F49F8B" w:rsidR="00D60C37" w:rsidRDefault="00D60C37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00998C63" w14:textId="1DAB733B" w:rsidR="00D60C37" w:rsidRDefault="00D60C37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557059ED" w14:textId="5236C6FB" w:rsidR="00D60C37" w:rsidRDefault="00D60C37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1A7C604E" w14:textId="30875100" w:rsidR="00D60C37" w:rsidRDefault="00D60C37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523B3D79" w14:textId="45B227F1" w:rsidR="00D60C37" w:rsidRDefault="00D60C37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5EB33259" w14:textId="1B9F6C75" w:rsidR="00D60C37" w:rsidRDefault="00D60C37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4E107C1A" w14:textId="6975C2BE" w:rsidR="00D60C37" w:rsidRDefault="00D60C37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507D9F2A" w14:textId="77777777" w:rsidR="00D60C37" w:rsidRDefault="00D60C37" w:rsidP="00D60C37">
      <w:pPr>
        <w:tabs>
          <w:tab w:val="left" w:pos="567"/>
          <w:tab w:val="left" w:pos="851"/>
        </w:tabs>
        <w:jc w:val="right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lastRenderedPageBreak/>
        <w:t>Приложение</w:t>
      </w:r>
    </w:p>
    <w:p w14:paraId="58E2DD2B" w14:textId="50E67C28" w:rsidR="00D60C37" w:rsidRDefault="00D60C37" w:rsidP="00D60C37">
      <w:pPr>
        <w:tabs>
          <w:tab w:val="left" w:pos="567"/>
          <w:tab w:val="left" w:pos="851"/>
        </w:tabs>
        <w:jc w:val="right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к постановлению администрации </w:t>
      </w:r>
    </w:p>
    <w:p w14:paraId="7AE129A3" w14:textId="77777777" w:rsidR="00D60C37" w:rsidRDefault="00D60C37" w:rsidP="00D60C37">
      <w:pPr>
        <w:tabs>
          <w:tab w:val="left" w:pos="567"/>
          <w:tab w:val="left" w:pos="851"/>
        </w:tabs>
        <w:jc w:val="right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Кропоткинского городского поселения </w:t>
      </w:r>
    </w:p>
    <w:p w14:paraId="6DEBD4AD" w14:textId="28885D9B" w:rsidR="00D60C37" w:rsidRDefault="00D60C37" w:rsidP="00D60C37">
      <w:pPr>
        <w:tabs>
          <w:tab w:val="left" w:pos="567"/>
          <w:tab w:val="left" w:pos="851"/>
        </w:tabs>
        <w:jc w:val="right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от 26 февраля №</w:t>
      </w:r>
      <w:r w:rsidR="00D73DEC">
        <w:rPr>
          <w:rFonts w:ascii="Times New Roman" w:hAnsi="Times New Roman" w:cs="Times New Roman"/>
          <w:color w:val="000000"/>
          <w:lang w:val="ru-RU"/>
        </w:rPr>
        <w:t xml:space="preserve"> 29-п</w:t>
      </w:r>
    </w:p>
    <w:p w14:paraId="65BCCFEF" w14:textId="3535D9A8" w:rsidR="00D60C37" w:rsidRDefault="00D60C37" w:rsidP="00D60C37">
      <w:pPr>
        <w:tabs>
          <w:tab w:val="left" w:pos="567"/>
          <w:tab w:val="left" w:pos="851"/>
        </w:tabs>
        <w:jc w:val="right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</w:t>
      </w:r>
    </w:p>
    <w:p w14:paraId="31C1C99B" w14:textId="726001B1" w:rsidR="00D60C37" w:rsidRDefault="00D60C37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tbl>
      <w:tblPr>
        <w:tblW w:w="93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60"/>
      </w:tblGrid>
      <w:tr w:rsidR="00D60C37" w14:paraId="3B13135F" w14:textId="77777777" w:rsidTr="00D60C37">
        <w:tc>
          <w:tcPr>
            <w:tcW w:w="9356" w:type="dxa"/>
            <w:hideMark/>
          </w:tcPr>
          <w:p w14:paraId="0E234567" w14:textId="77777777" w:rsidR="00D60C37" w:rsidRDefault="00D60C37">
            <w:pPr>
              <w:pStyle w:val="ConsPlusNormal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ЗАДАНИЕ</w:t>
            </w:r>
          </w:p>
          <w:p w14:paraId="7A2A4965" w14:textId="77777777" w:rsidR="00D60C37" w:rsidRDefault="00D60C37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 разработку документации по планировке территории, </w:t>
            </w:r>
          </w:p>
          <w:p w14:paraId="434EA4BF" w14:textId="77777777" w:rsidR="00D60C37" w:rsidRDefault="00D60C37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предусматривающую размещение объекта</w:t>
            </w:r>
          </w:p>
        </w:tc>
      </w:tr>
      <w:tr w:rsidR="00D60C37" w:rsidRPr="00D73DEC" w14:paraId="1B61AC73" w14:textId="77777777" w:rsidTr="00D60C37">
        <w:tc>
          <w:tcPr>
            <w:tcW w:w="93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DAF123" w14:textId="77777777" w:rsidR="00D60C37" w:rsidRDefault="00D60C37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«Строительство ВЛ 110 кВ от ПС 220 кВ Сухой Лог до опоры № 1 ВЛ 110 кВ Сухой Лог – ГОК Светловский с установкой пункта коммерческого учета электроэнергии»</w:t>
            </w:r>
          </w:p>
        </w:tc>
      </w:tr>
      <w:tr w:rsidR="00D60C37" w:rsidRPr="00D73DEC" w14:paraId="58F96D4E" w14:textId="77777777" w:rsidTr="00D60C37"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217E5D" w14:textId="77777777" w:rsidR="00D60C37" w:rsidRDefault="00D60C37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территории  Кропоткинского городского поселения муниципального образования города Бодайбо и района Иркутской области</w:t>
            </w:r>
          </w:p>
        </w:tc>
      </w:tr>
      <w:tr w:rsidR="00D60C37" w:rsidRPr="00D73DEC" w14:paraId="6F35FF93" w14:textId="77777777" w:rsidTr="00D60C37">
        <w:tc>
          <w:tcPr>
            <w:tcW w:w="935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E33A06" w14:textId="77777777" w:rsidR="00D60C37" w:rsidRDefault="00D60C37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sz w:val="16"/>
                <w:lang w:eastAsia="en-US"/>
              </w:rPr>
              <w:t>(наименование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      </w:r>
          </w:p>
        </w:tc>
      </w:tr>
    </w:tbl>
    <w:p w14:paraId="059A8CF0" w14:textId="77777777" w:rsidR="00D60C37" w:rsidRDefault="00D60C37" w:rsidP="00D60C37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0"/>
        <w:gridCol w:w="3215"/>
        <w:gridCol w:w="5744"/>
      </w:tblGrid>
      <w:tr w:rsidR="00D60C37" w14:paraId="7D770238" w14:textId="77777777" w:rsidTr="00D60C37">
        <w:trPr>
          <w:tblHeader/>
        </w:trPr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D8145" w14:textId="77777777" w:rsidR="00D60C37" w:rsidRDefault="00D60C3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позиции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02BE" w14:textId="77777777" w:rsidR="00D60C37" w:rsidRDefault="00D60C3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</w:t>
            </w:r>
          </w:p>
        </w:tc>
      </w:tr>
      <w:tr w:rsidR="00D60C37" w14:paraId="2487CCB5" w14:textId="77777777" w:rsidTr="00D60C3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D1E52" w14:textId="77777777" w:rsidR="00D60C37" w:rsidRDefault="00D60C3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112EA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Вид разрабатываемой документации по планировке территории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A71F" w14:textId="77777777" w:rsid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 планировки территории</w:t>
            </w:r>
          </w:p>
          <w:p w14:paraId="099B43E1" w14:textId="77777777" w:rsid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D60C37" w14:paraId="56B86938" w14:textId="77777777" w:rsidTr="00D60C3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4F78D" w14:textId="77777777" w:rsidR="00D60C37" w:rsidRDefault="00D60C3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8DC1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Инициатор подготовки документации по планировке территории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FDB11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АО «Витимэнерго»</w:t>
            </w:r>
          </w:p>
          <w:p w14:paraId="3CA3C643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Юридический и почтовый (фактический) адрес:</w:t>
            </w:r>
          </w:p>
          <w:p w14:paraId="71F9BCD2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 xml:space="preserve">666902, Российская Федерация, </w:t>
            </w:r>
          </w:p>
          <w:p w14:paraId="14CDC53E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 xml:space="preserve">Иркутская область, г. Бодайбо, </w:t>
            </w:r>
          </w:p>
          <w:p w14:paraId="3514A63A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ул. Подстанция, д. 4</w:t>
            </w:r>
          </w:p>
          <w:p w14:paraId="7439DC94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ИНН/КПП: 3802005802/380201001</w:t>
            </w:r>
          </w:p>
          <w:p w14:paraId="6AD00DFA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р/с 407 028 108 183 001 000 46</w:t>
            </w:r>
          </w:p>
          <w:p w14:paraId="4AB52588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 xml:space="preserve">Байкальский Банк </w:t>
            </w:r>
          </w:p>
          <w:p w14:paraId="226DBA09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ПАО "СБЕРБАНК РОССИИ", г. Иркутск</w:t>
            </w:r>
          </w:p>
          <w:p w14:paraId="6686A6C3" w14:textId="77777777" w:rsid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БИК 042520607, к/с 30101810900000000607</w:t>
            </w:r>
          </w:p>
        </w:tc>
      </w:tr>
      <w:tr w:rsidR="00D60C37" w14:paraId="4C2406B0" w14:textId="77777777" w:rsidTr="00D60C3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97623" w14:textId="77777777" w:rsidR="00D60C37" w:rsidRDefault="00D60C3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61307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4C630" w14:textId="77777777" w:rsid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 АО «Витимэнерго»</w:t>
            </w:r>
          </w:p>
        </w:tc>
      </w:tr>
      <w:tr w:rsidR="00D60C37" w:rsidRPr="00D73DEC" w14:paraId="31467277" w14:textId="77777777" w:rsidTr="00D60C3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17351" w14:textId="77777777" w:rsidR="00D60C37" w:rsidRDefault="00D60C3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1BB0D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A649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59D4F9B6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 xml:space="preserve">Строительство ВЛ 110 кВ от ПС 220 кВ Сухой Лог до опоры № 1 ВЛ 110 кВ Сухой Лог – ГОК Светловский с установкой пункта коммерческого учета электроэнергии </w:t>
            </w:r>
          </w:p>
          <w:p w14:paraId="5A7CA7FD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i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Площадь, занимаемая объектом, составляет 0,175 га.</w:t>
            </w:r>
          </w:p>
          <w:p w14:paraId="7B456BD3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i/>
                <w:lang w:val="ru-RU"/>
              </w:rPr>
            </w:pPr>
          </w:p>
        </w:tc>
      </w:tr>
      <w:tr w:rsidR="00D60C37" w:rsidRPr="00D73DEC" w14:paraId="4C5B3E1F" w14:textId="77777777" w:rsidTr="00D60C3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21FF6" w14:textId="77777777" w:rsidR="00D60C37" w:rsidRDefault="00D60C3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10D50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 xml:space="preserve">Поселения, муниципальные округа, городские округа, муниципальные районы, </w:t>
            </w:r>
            <w:r w:rsidRPr="00D60C37">
              <w:rPr>
                <w:rFonts w:ascii="Times New Roman" w:hAnsi="Times New Roman" w:cs="Times New Roman"/>
                <w:lang w:val="ru-RU"/>
              </w:rPr>
              <w:lastRenderedPageBreak/>
              <w:t>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9419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lastRenderedPageBreak/>
              <w:t>Кропоткинское городское поселение, муниципальное образование города Бодайбо и района, Иркутская область</w:t>
            </w:r>
          </w:p>
          <w:p w14:paraId="7C365B58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i/>
                <w:lang w:val="ru-RU"/>
              </w:rPr>
            </w:pPr>
          </w:p>
        </w:tc>
      </w:tr>
      <w:tr w:rsidR="00D60C37" w:rsidRPr="00D73DEC" w14:paraId="41A3B343" w14:textId="77777777" w:rsidTr="00D60C3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B0E8A" w14:textId="77777777" w:rsidR="00D60C37" w:rsidRDefault="00D60C3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9B7D3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Состав документации по планировке территории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DE82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Состав проекта планировки территории должен соответствовать ст. 42-43 Градостроительного кодекса Российской Федерации.</w:t>
            </w:r>
          </w:p>
          <w:p w14:paraId="6F3E1EA7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Графические материалы, входящие в состав проекта планировки территории, разрабатываются в масштабе от 1:500 до 1:5000, если иной масштаб не установлен в отношении отдельных графических материалов.</w:t>
            </w:r>
          </w:p>
          <w:p w14:paraId="3D2AEF91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Объединение нескольких чертежей в один допускается при условии обеспечения читаемости линий и условных обозначений графических материалов.</w:t>
            </w:r>
          </w:p>
          <w:p w14:paraId="3335741B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Проект планировки территории состоит из основной части, которая подлежит утверждению, и материалов по ее обоснованию.</w:t>
            </w:r>
          </w:p>
          <w:p w14:paraId="24B3EEE6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Основная часть проекта планировки территории включает в себя:</w:t>
            </w:r>
          </w:p>
          <w:p w14:paraId="25E0C526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раздел 1 «Проект планировки территории. Графическая часть»;</w:t>
            </w:r>
          </w:p>
          <w:p w14:paraId="3AF8033E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раздел 2 «Положение о размещении линейных объектов».</w:t>
            </w:r>
          </w:p>
          <w:p w14:paraId="57A14374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Материалы по обоснованию проекта планировки территории включают в себя:</w:t>
            </w:r>
          </w:p>
          <w:p w14:paraId="60A5A27D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раздел 3 «Материалы по обоснованию проекта планировки территории. Графическая часть»;</w:t>
            </w:r>
          </w:p>
          <w:p w14:paraId="4D577E16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раздел 4 «Материалы по обоснованию проекта планировки территории. Пояснительная записка».</w:t>
            </w:r>
          </w:p>
          <w:p w14:paraId="308CE251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Раздел 1 «Проект планировки территории. Графическая часть» включает в себя:</w:t>
            </w:r>
          </w:p>
          <w:p w14:paraId="27D30C7A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-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чертеж красных линий;</w:t>
            </w:r>
          </w:p>
          <w:p w14:paraId="66926FFF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-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чертеж границ зон планируемого размещения линейных объектов;</w:t>
            </w:r>
          </w:p>
          <w:p w14:paraId="1ADF7503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-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чертеж границ зон планируемого размещения линейных объектов, подлежащих реконструкции в связи с изменением их местоположения.</w:t>
            </w:r>
          </w:p>
          <w:p w14:paraId="0998B2BC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На чертеже красных линий отображаются:</w:t>
            </w:r>
          </w:p>
          <w:p w14:paraId="420D8414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а)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территории, в отношении которой осуществляется подготовка проекта планировки;</w:t>
            </w:r>
          </w:p>
          <w:p w14:paraId="1B90CC6F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б)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существующие (ранее установленные в соответствии с законодательством Российской Федерации), устанавливаемые и отменяемые красные линии;</w:t>
            </w:r>
          </w:p>
          <w:p w14:paraId="1CFF77A6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в)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 xml:space="preserve">номера характерных точек устанавливаемых красных линий, в том числе точек начала и окончания </w:t>
            </w:r>
            <w:r w:rsidRPr="00D60C37">
              <w:rPr>
                <w:rFonts w:ascii="Times New Roman" w:hAnsi="Times New Roman" w:cs="Times New Roman"/>
                <w:lang w:val="ru-RU"/>
              </w:rPr>
              <w:lastRenderedPageBreak/>
              <w:t>красных линий, точек изменения описания красных линий. Перечень координат характерных точек устанавливаемых красных линий приводится в форме таблицы, которая является неотъемлемым приложением к чертежу красных линий:</w:t>
            </w:r>
          </w:p>
          <w:p w14:paraId="0F9DCD0F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г)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пояснительные надписи, содержащие информацию о видах территорий общего пользования, для которых установлены и (или) устанавливаются красные линии;</w:t>
            </w:r>
          </w:p>
          <w:p w14:paraId="33D0834E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д)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существующих и планируемых элементов планировочной структуры.</w:t>
            </w:r>
          </w:p>
          <w:p w14:paraId="614A0C6B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На чертеже границ зон планируемого размещения линейных объектов отображаются:</w:t>
            </w:r>
          </w:p>
          <w:p w14:paraId="70CB50D7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а)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территории, в отношении которой осуществляется подготовка проекта планировки;</w:t>
            </w:r>
          </w:p>
          <w:p w14:paraId="42E93E7E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б)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зон планируемого размещения линейных объектов с указанием границ зон планируемого размещения объектов капитального строительства, проектируемых в составе линейных объектов, обеспечивающих в том числе соблюдение расчетных показателей минимально допустимого уровня обеспеченности территории объектами коммунальной, транспортной, социальной инфраструктур и расчетных показателей максимально допустимого уровня территориальной доступности указанных объектов для населения в соответствии с нормативами градостроительного проектирования. Места размещения объектов капитального строительства, проектируемых в составе линейного объекта, подлежат уточнению при архитектурно-строительном проектировании, но не могут выходить за границы зон планируемого размещения таких объектов, установленных проектом планировки территории. В случае если для размещения линейных объектов требуется образование земельных участков, границы зон планируемого размещения линейных объектов устанавливаются в соответствии с нормами отвода земельных участков для конкретных видов линейных объектов;</w:t>
            </w:r>
          </w:p>
          <w:p w14:paraId="090F4151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в)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номера характерных точек границ зон планируемого размещения линейных объектов, в том числе точек начала и окончания, точек изменения описания границ таких зон.</w:t>
            </w:r>
          </w:p>
          <w:p w14:paraId="2949763A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На чертеже границ зон планируемого размещения линейных объектов, подлежащих реконструкции в связи с изменением их местоположения, отображаются:</w:t>
            </w:r>
          </w:p>
          <w:p w14:paraId="02495296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а)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территории, в отношении которой осуществляется подготовка проекта планировки;</w:t>
            </w:r>
          </w:p>
          <w:p w14:paraId="51F1EADB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б)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 xml:space="preserve">границы зон планируемого размещения </w:t>
            </w:r>
            <w:r w:rsidRPr="00D60C37">
              <w:rPr>
                <w:rFonts w:ascii="Times New Roman" w:hAnsi="Times New Roman" w:cs="Times New Roman"/>
                <w:lang w:val="ru-RU"/>
              </w:rPr>
              <w:lastRenderedPageBreak/>
              <w:t>линейных объектов, подлежащих реконструкции в связи с изменением их местоположения;</w:t>
            </w:r>
          </w:p>
          <w:p w14:paraId="48CBAD66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в)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номера характерных точек границ зон планируемого размещения линейных объектов, подлежащих реконструкции в связи с изменением их местоположения.</w:t>
            </w:r>
          </w:p>
          <w:p w14:paraId="48C80ABB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Раздел 2 «Положение о размещении линейных объектов» должен содержать следующую информацию:</w:t>
            </w:r>
          </w:p>
          <w:p w14:paraId="3D507842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а)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наименование, основные характеристики (категория, протяженность, проектная мощность, пропускная способность, грузонапряженность, интенсивность движения) и назначение планируемых для размещения линейных объектов, а также линейных объектов, подлежащих реконструкции в связи с изменением их местоположения;</w:t>
            </w:r>
          </w:p>
          <w:p w14:paraId="53224B06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б)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перечень субъектов Российской Федерации, перечень муниципальных районов, городских округов в составе субъектов Российской Федерации, перечень поселений, населенных пунктов, внутригородских территорий городов федерального значения, на территориях которых устанавливаются зоны планируемого размещения линейных объектов;</w:t>
            </w:r>
          </w:p>
          <w:p w14:paraId="65A51738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в)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перечень координат характерных точек границ зон планируемого размещения линейных объектов;</w:t>
            </w:r>
          </w:p>
          <w:p w14:paraId="0978AAB8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г)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перечень координат характерных точек границ зон планируемого размещения линейных объектов, подлежащих реконструкции в связи с изменением их местоположения;</w:t>
            </w:r>
          </w:p>
          <w:p w14:paraId="753A137B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д)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предельные параметры разрешенного строительства, реконструкции объектов капитального строительства, входящих в состав линейных объектов в границах зон их планируемого размещения:</w:t>
            </w:r>
          </w:p>
          <w:p w14:paraId="500A5031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-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предельное количество этажей и (или) предельная высота объектов капитального строительства, входящих в состав линейных объектов, в границах каждой зоны планируемого размещения таких объектов;</w:t>
            </w:r>
          </w:p>
          <w:p w14:paraId="36B3410B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-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максимальный процент застройки каждой зоны планируемого размещения объектов капитального строительства, входящих в состав линейных объектов,</w:t>
            </w:r>
          </w:p>
          <w:p w14:paraId="15D3034A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определяемый как отношение площади зоны планируемого размещения объекта капитального строительства, входящего в состав линейного объекта, которая может быть застроена, ко всей площади этой зоны;</w:t>
            </w:r>
          </w:p>
          <w:p w14:paraId="5B31DB83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-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 xml:space="preserve">минимальные отступы от границ земельных участков в целях определения мест допустимого размещения объектов капитального строительства, которые входят в состав линейных объектов и за </w:t>
            </w:r>
            <w:r w:rsidRPr="00D60C37">
              <w:rPr>
                <w:rFonts w:ascii="Times New Roman" w:hAnsi="Times New Roman" w:cs="Times New Roman"/>
                <w:lang w:val="ru-RU"/>
              </w:rPr>
              <w:lastRenderedPageBreak/>
              <w:t>пределами которых запрещено строительство таких объектов, в границах каждой зоны планируемого размещения объектов капитального строительства, входящих в состав линейных объектов;</w:t>
            </w:r>
          </w:p>
          <w:p w14:paraId="22BF222F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-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требования к архитектурным решениям объектов капитального строительства, входящих в состав линейных объектов, в границах каждой зоны планируемого размещения таких объектов, расположенной в границах территории исторического поселения федерального или регионального значения, с указанием:</w:t>
            </w:r>
          </w:p>
          <w:p w14:paraId="198F26A4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-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требований к цветовому решению внешнего облика таких объектов;</w:t>
            </w:r>
          </w:p>
          <w:p w14:paraId="23CA1295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-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требований к строительным материалам, определяющим внешний облик таких объектов;</w:t>
            </w:r>
          </w:p>
          <w:p w14:paraId="1A37B007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-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требований к объемно-пространственным, архитектурно-¬стилистическим и иным характеристикам таких объектов, влияющим на их внешний облик и (или) на композицию, а также на силуэт застройки исторического поселения;</w:t>
            </w:r>
          </w:p>
          <w:p w14:paraId="6568C479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е)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информация о необходимости осуществления мероприятий по защите сохраняемых объектов капитального строительства (здание, строение, сооружение, объекты, строительство которых не завершено), существующих и строящихся на момент подготовки проекта планировки территории, а также объектов капитального строительства, планируемых к строительству в соответствии с ранее утвержденной документацией по планировке территории, от возможного негативного воздействия в связи с размещением линейных объектов;</w:t>
            </w:r>
          </w:p>
          <w:p w14:paraId="7F463E2E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ж)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информация о необходимости осуществления мероприятий по сохранению объектов культурного наследия от возможного негативного воздействия в связи с размещением линейных объектов;</w:t>
            </w:r>
          </w:p>
          <w:p w14:paraId="44CC5DF3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з)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информация о необходимости осуществления мероприятий по охране окружающей среды;</w:t>
            </w:r>
          </w:p>
          <w:p w14:paraId="6F3D1B33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и)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информация о необходимости осуществления мероприятий по защите территории от чрезвычайных ситуаций природного и техногенного характера, в том числе по обеспечению пожарной безопасности и гражданской обороне.</w:t>
            </w:r>
          </w:p>
          <w:p w14:paraId="16497143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 xml:space="preserve">Наименование линейных объектов федерального, регионального или местного значения и их планируемое местоположение, указываемое в соответствии с подпунктами «а» и «б» раздела 2 настоящего Задания, должно соответствовать наименованию и планируемому местоположению, установленному документами территориального планирования, за исключением случаев, </w:t>
            </w:r>
            <w:r w:rsidRPr="00D60C37">
              <w:rPr>
                <w:rFonts w:ascii="Times New Roman" w:hAnsi="Times New Roman" w:cs="Times New Roman"/>
                <w:lang w:val="ru-RU"/>
              </w:rPr>
              <w:lastRenderedPageBreak/>
              <w:t>установленных частью 14 статьи 9 Градостроительного кодекса Российской Федерации, или случаев, когда такие линейные объекты не подлежат отображению в документах территориального планирования.</w:t>
            </w:r>
          </w:p>
          <w:p w14:paraId="1A8AC307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 xml:space="preserve">Раздел 3 «Материалы по обоснованию проекта планировки территории. Графическая часть» содержит следующие схемы: </w:t>
            </w:r>
          </w:p>
          <w:p w14:paraId="5868930C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а) схема расположения элементов планировочной структуры (территорий, занятых линейными объектами и (или) предназначенных для размещения линейных объектов);</w:t>
            </w:r>
          </w:p>
          <w:p w14:paraId="3EDE1358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б)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схема использования территории в период подготовки проекта планировки территории;</w:t>
            </w:r>
          </w:p>
          <w:p w14:paraId="6898E498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в)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схема организации улично-дорожной сети и движения транспорта;</w:t>
            </w:r>
          </w:p>
          <w:p w14:paraId="4C867BF3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г)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схема вертикальной планировки территории, инженерной подготовки и инженерной защиты территории;</w:t>
            </w:r>
          </w:p>
          <w:p w14:paraId="5E4E0639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д)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схема границ территорий объектов культурного наследия;</w:t>
            </w:r>
          </w:p>
          <w:p w14:paraId="72519697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е)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схема границ зон с особыми условиями использования территорий, особо охраняемых природных территорий, лесничеств;</w:t>
            </w:r>
          </w:p>
          <w:p w14:paraId="3F0B0F8C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ж)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схема границ территорий, подверженных риску возникновения чрезвычайных ситуаций природного и техногенного характера (пожар, взрыв, химическое, радиоактивное заражение, затопление, подтопление, оползень, карсты, эрозия и т д.);</w:t>
            </w:r>
          </w:p>
          <w:p w14:paraId="26604EE5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з)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схема конструктивных и планировочных решений.</w:t>
            </w:r>
          </w:p>
          <w:p w14:paraId="57BF6348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Схема расположения элементов планировочной структуры разрабатывается в масштабе от 1:10 000 до 1:25 000 при условии обеспечения читаемости линий и условных обозначений графических материалов. На этой схеме отображаются:</w:t>
            </w:r>
          </w:p>
          <w:p w14:paraId="6450B4EB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а)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территории, в отношении которой осуществляется подготовка схемы расположения элементов планировочной структуры, в пределах границ субъекта (субъектов) Российской Федерации, на территории которого устанавливаются границы зон планируемого размещения линейных объектов и границы зон планируемого размещения линейных объектов, подлежащих реконструкции в связи с изменением их местоположения;</w:t>
            </w:r>
          </w:p>
          <w:p w14:paraId="07398D91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б)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зон планируемого размещения линейных объектов;</w:t>
            </w:r>
          </w:p>
          <w:p w14:paraId="45F8A042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в)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зон планируемого размещения линейных объектов, подлежащих реконструкции в связи с изменением их местоположения.</w:t>
            </w:r>
          </w:p>
          <w:p w14:paraId="6E28E0BC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lastRenderedPageBreak/>
              <w:t>На схеме использования территории в период подготовки проекта планировки территории отображаются:</w:t>
            </w:r>
          </w:p>
          <w:p w14:paraId="3142878E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а)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территории, в отношении которой осуществляется подготовка проекта планировки;</w:t>
            </w:r>
          </w:p>
          <w:p w14:paraId="605724C8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б)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зон планируемого размещения линейных объектов;</w:t>
            </w:r>
          </w:p>
          <w:p w14:paraId="0A2AF077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в)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зон планируемого размещения линейных объектов, подлежащих реконструкции в связи с, изменением их местоположения;</w:t>
            </w:r>
          </w:p>
          <w:p w14:paraId="2C57B69C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г)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сведения об отнесении к определенной категории земель в границах территории, в отношении которой осуществляется подготовка проекта планировки;</w:t>
            </w:r>
          </w:p>
          <w:p w14:paraId="3C054D0C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д)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 xml:space="preserve"> границы существующих земельных участков, учтенных в Едином государственном реестре недвижимости, в границах</w:t>
            </w:r>
          </w:p>
          <w:p w14:paraId="32699F0D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территории, в отношении которой осуществляется подготовка проекта планировки, с указанием форм собственности таких земельных участков и информации о необходимости изъятия таких земельных участков для государственных и муниципальных нужд;</w:t>
            </w:r>
          </w:p>
          <w:p w14:paraId="19077976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е)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контуры существующих сохраняемых объектов капитального строительства, а также подлежащих сносу и (или) демонтажу и не подлежащих реконструкции линейных объектов;</w:t>
            </w:r>
          </w:p>
          <w:p w14:paraId="4ECB5F23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ж)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зон планируемого размещения объектов капитального строительства, установленные ранее утвержденной документацией по планировке территории, в случае планируемого размещения таковых в границах территории, в отношении которой осуществляется подготовка проекта планировки.</w:t>
            </w:r>
          </w:p>
          <w:p w14:paraId="6B0D8F30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Схема организации улично-дорожной сети и движения транспорта выполняется в случае подготовки проекта планировки территории, предусматривающего размещение автомобильных дорог и (или) железнодорожного транспорта. На этой схеме отображаются:</w:t>
            </w:r>
          </w:p>
          <w:p w14:paraId="023B1D9A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а)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территории, в отношении которой осуществляется подготовка проекта планировки:</w:t>
            </w:r>
          </w:p>
          <w:p w14:paraId="30EB457C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б)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зон планируемого размещения линейных объектов;</w:t>
            </w:r>
          </w:p>
          <w:p w14:paraId="4CD563CA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в)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зон планируемого размещения линейных объектов, подлежащих реконструкции в связи с изменением их местоположения;</w:t>
            </w:r>
          </w:p>
          <w:p w14:paraId="316220A3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г)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категории улиц и дорог;</w:t>
            </w:r>
          </w:p>
          <w:p w14:paraId="1C8AE868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д)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линии внутриквартальных проездов и проходов в границах территории общего пользования, границы публичных сервитутов;</w:t>
            </w:r>
          </w:p>
          <w:p w14:paraId="1802936F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lastRenderedPageBreak/>
              <w:t>е)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остановочные пункты наземного общественного пассажирского транспорта, входы (выходы) подземного общественного пассажирского транспорта;</w:t>
            </w:r>
          </w:p>
          <w:p w14:paraId="35DEBEE6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ж)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объекты транспортной инфраструктуры с выделением эстакад, путепроводов, мостов, тоннелей, объектов внеуличного транспорта, железнодорожных вокзалов, пассажирских платформ, сооружений и устройств для хранения и обслуживания транспортных средств (в том числе подземных) и иных подобных объектов в соответствии с региональными и местными нормативами градостроительного проектирования;</w:t>
            </w:r>
          </w:p>
          <w:p w14:paraId="3D4E5286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з)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хозяйственные проезды и скотопрогоны, сооружения для перехода диких животных;</w:t>
            </w:r>
          </w:p>
          <w:p w14:paraId="00C0B7C6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и)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основные пути пешеходного движения, пешеходные переходы на одном и разных уровнях;</w:t>
            </w:r>
          </w:p>
          <w:p w14:paraId="7C56D947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к)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направления движения наземного общественного пассажирского транспорта;</w:t>
            </w:r>
          </w:p>
          <w:p w14:paraId="2ADA7B65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л)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иные объекты транспортной инфраструктуры с учетом существующих и прогнозных потребностей в транспортном обеспечении территории.</w:t>
            </w:r>
          </w:p>
          <w:p w14:paraId="1ABCA7C9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Схема вертикальной планировки территории, инженерной подготовки и инженерной защиты территории выполняется в случаях, установленных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 Допускается отображение соответствующей информации на одной или нескольких схемах в зависимости от обеспечения читаемости линий и условных обозначений. На этой схеме отображаются:</w:t>
            </w:r>
          </w:p>
          <w:p w14:paraId="527D988B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а)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зон планируемого размещения линейных объектов;</w:t>
            </w:r>
          </w:p>
          <w:p w14:paraId="3751F41F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б)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зон планируемого размещения линейных объектов, подлежащих реконструкции в связи с изменением их местоположения;</w:t>
            </w:r>
          </w:p>
          <w:p w14:paraId="5E0F2B1E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в)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существующие и директивные (проектные) отметки поверхности по осям трасс автомобильных и железных дорог, проезжих частей в местах пересечения улиц и проездов и в местах перелома продольного профиля, а также других планировочных элементов для вертикальной увязки проектных решений, включая смежные территории;</w:t>
            </w:r>
          </w:p>
          <w:p w14:paraId="06F60048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г)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 xml:space="preserve">проектные продольные уклоны, направление продольного уклона, расстояние между точками, ограничивающими участок с продольным уклоном; </w:t>
            </w:r>
          </w:p>
          <w:p w14:paraId="26759097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 xml:space="preserve">д) горизонтали, отображающие проектный рельеф в </w:t>
            </w:r>
            <w:r w:rsidRPr="00D60C37">
              <w:rPr>
                <w:rFonts w:ascii="Times New Roman" w:hAnsi="Times New Roman" w:cs="Times New Roman"/>
                <w:lang w:val="ru-RU"/>
              </w:rPr>
              <w:lastRenderedPageBreak/>
              <w:t>виде параллельных линий;</w:t>
            </w:r>
          </w:p>
          <w:p w14:paraId="0738C0CF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е)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поперечные профили автомобильных и железных дорог, улично-дорожной сети в масштабе 1:100 - 1:200. Ширина автомобильной дороги и функциональных элементов поперечного профиля приводится с точностью до 0.01 метра. Асимметричные поперечные профили сопровождаются пояснительной надписью для ориентации профиля относительно плана.</w:t>
            </w:r>
          </w:p>
          <w:p w14:paraId="27497169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Схема границ территорий объектов культурного наследия разрабатывается в случае наличия объектов культурного наследия в границах территории, в отношении которой осуществляется подготовка проекта планировки. При отсутствии объектов культурного наследия в границах территории, в отношении которой осуществляется подготовка проекта планировки, соответствующая информация указывается в разделе 4 «Материалы по обоснованию проекта планировки территории. Пояснительная записка». На этой схеме отображаются:</w:t>
            </w:r>
          </w:p>
          <w:p w14:paraId="47908310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а)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территории, в отношении которой осуществляется подготовка проекта планировки;</w:t>
            </w:r>
          </w:p>
          <w:p w14:paraId="0E00E651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б)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зон планируемого размещения линейных объектов;</w:t>
            </w:r>
          </w:p>
          <w:p w14:paraId="53905B4F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в)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зон планируемого размещения линейных объектов, подлежащих реконструкции в связи с изменением их местоположения;</w:t>
            </w:r>
          </w:p>
          <w:p w14:paraId="640BD424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г)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Федерации;</w:t>
            </w:r>
          </w:p>
          <w:p w14:paraId="34D65F3E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д)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территорий выявленных объектов культурного наследия.</w:t>
            </w:r>
          </w:p>
          <w:p w14:paraId="1F109229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На схеме границ зон с особыми условиями использования территорий, особо охраняемых природных территорий, лесничеств, которая может представляться в виде одной или нескольких схем, отображаются:</w:t>
            </w:r>
          </w:p>
          <w:p w14:paraId="59C3F10E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а)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территории, в отношении которой осуществляется подготовка проекта планировки;</w:t>
            </w:r>
          </w:p>
          <w:p w14:paraId="4D038ED6" w14:textId="77777777" w:rsidR="00D60C37" w:rsidRPr="00D60C37" w:rsidRDefault="00D60C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б) границы зон планируемого размещения линейных объектов;</w:t>
            </w:r>
          </w:p>
          <w:p w14:paraId="1C8B7F09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в)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зон планируемого размещения линейных объектов, подлежащих реконструкции в связи с изменением их местоположения;</w:t>
            </w:r>
          </w:p>
          <w:p w14:paraId="2E954733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г)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зон с особыми условиями использования территорий: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 xml:space="preserve">установленные в соответствии с законодательством Российской Федерации; подлежащие установлению, изменению в связи с размещением линейных объектов; </w:t>
            </w:r>
            <w:r w:rsidRPr="00D60C37">
              <w:rPr>
                <w:rFonts w:ascii="Times New Roman" w:hAnsi="Times New Roman" w:cs="Times New Roman"/>
                <w:lang w:val="ru-RU"/>
              </w:rPr>
              <w:lastRenderedPageBreak/>
              <w:t>подлежащие установлению, изменению в связи с размещением линейных объектов, подлежащих реконструкции в связи с их переносом из зон планируемого размещения линейных объектов либо в границах зон планируемого размещения линейных объектов;</w:t>
            </w:r>
          </w:p>
          <w:p w14:paraId="2FD93B95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д)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особо охраняемых природных территорий, границы лесничеств.</w:t>
            </w:r>
          </w:p>
          <w:p w14:paraId="3BCF849E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На схеме границ территорий, подверженных риску возникновения чрезвычайных ситуаций природного и техногенного характера (пожар, взрыв, химическое, радиоактивное заражение, затопление, подтопление, оползень, карсты, эрозия и т.д.), отображаются:</w:t>
            </w:r>
          </w:p>
          <w:p w14:paraId="231F71CC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а)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территории, в отношении которой осуществляется подготовка проекта планировки;</w:t>
            </w:r>
          </w:p>
          <w:p w14:paraId="085D7521" w14:textId="77777777" w:rsidR="00D60C37" w:rsidRPr="00D60C37" w:rsidRDefault="00D60C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б)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зон планируемого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размещения линейных объектов;</w:t>
            </w:r>
          </w:p>
          <w:p w14:paraId="04633A8C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в)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зон планируемого размещения линейных объектов, подлежащих реконструкции в связи с изменением их местоположения;</w:t>
            </w:r>
          </w:p>
          <w:p w14:paraId="6DC9D23E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г)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территорий, подверженных риску возникновения чрезвычайных ситуаций природного и техногенного характера (в соответствии с исходными данными, материалами документов территориального планирования, а в случае их отсутствия - в соответствии с нормативно-¬техническими документами).</w:t>
            </w:r>
          </w:p>
          <w:p w14:paraId="72937601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На схеме конструктивных и планировочных решений, подготавливаемой в целях обоснования границ зон планируемого размещения линейных объектов, отображаются:</w:t>
            </w:r>
          </w:p>
          <w:p w14:paraId="1E22EA58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а)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территории, в отношении которой осуществляется подготовка проекта планировки;</w:t>
            </w:r>
          </w:p>
          <w:p w14:paraId="3C84EDB0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б)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границы зон планируемого размещения линейных объектов;</w:t>
            </w:r>
          </w:p>
          <w:p w14:paraId="529F49DC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в)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ось планируемого линейного объекта с нанесением пикетажа и (или) километровых отметок;</w:t>
            </w:r>
          </w:p>
          <w:p w14:paraId="43E15D5B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г)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конструктивные и планировочные решения, планируемые в отношении линейного объекта и (или) объектов капитального строительства, проектируемых в составе линейного объекта, в объеме, достаточном для определения зоны планируемого размещения линейного объекта.</w:t>
            </w:r>
          </w:p>
          <w:p w14:paraId="37C73D22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В состав графической части материалов по обоснованию проектов планировки территории могут включаться схемы в графической форме для обоснования размещения линейных объектов.</w:t>
            </w:r>
          </w:p>
          <w:p w14:paraId="7181095B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Раздел 4 «Материалы по обоснованию проекта планировки территории. Пояснительная записка» содержит:</w:t>
            </w:r>
          </w:p>
          <w:p w14:paraId="7E50D740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lastRenderedPageBreak/>
              <w:t>а)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описание природно-климатических условий территории, в отношении которой разрабатывается проект планировки территории:</w:t>
            </w:r>
          </w:p>
          <w:p w14:paraId="7E5EA15D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б)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обоснование определения границ зон планируемого размещения линейных объектов;</w:t>
            </w:r>
          </w:p>
          <w:p w14:paraId="0F617B61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в)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обоснование определения границ зон планируемого размещения линейных объектов, подлежащих реконструкции в связи с изменением их местоположения;</w:t>
            </w:r>
          </w:p>
          <w:p w14:paraId="29C6DED4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г)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обоснование определения предельных параметров застройки территории в границах зон планируемого размещения объектов капитального строительства, проектируемых в составе линейных объектов;</w:t>
            </w:r>
          </w:p>
          <w:p w14:paraId="4D5F3365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д)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ведомость пересечений границ зон планируемого размещения линейного объекта (объектов) с сохраняемыми объектами капитального строительства (здание, строение, сооружение, объект, строительство которого не завершено), существующими и строящимися на момент подготовки проекта планировки территории;</w:t>
            </w:r>
          </w:p>
          <w:p w14:paraId="5843955D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е)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ведомость пересечений границ зон планируемого размещения линейного объекта (объектов) с объектами капитального строительства, строительство которых запланировано в соответствии с ранее утвержденной документацией по планировке территории;</w:t>
            </w:r>
          </w:p>
          <w:p w14:paraId="33C5EB4D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ж)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ведомость пересечений границ зон планируемого размещения линейного объекта (объектов) с водными объектами (в том числе с водотоками, водоемами, болотами и Т.Д.).</w:t>
            </w:r>
          </w:p>
          <w:p w14:paraId="4AE0ACA2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Обязательным приложением к разделу 4 «Материалы по обоснованию проекта планировки территории. Пояснительная записка» являются:</w:t>
            </w:r>
          </w:p>
          <w:p w14:paraId="284B9D84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а)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материалы и результаты инженерных изысканий, используемые при подготовке проекта планировки территории, с приложением документов, подтверждающих соответствие лиц, выполнивших инженерные изыскания, требованиям части 2 статьи 47 Градостроительного кодекса Российской Федерации;</w:t>
            </w:r>
          </w:p>
          <w:p w14:paraId="77E6A28C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б)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программа и задание на проведение инженерных изысканий, используемые при подготовке проекта планировки территории;</w:t>
            </w:r>
          </w:p>
          <w:p w14:paraId="65F6CDA4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в)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исходные данные, используемые при подготовке проекта планировки территории;</w:t>
            </w:r>
          </w:p>
          <w:p w14:paraId="483C054A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г)</w:t>
            </w:r>
            <w:r w:rsidRPr="00D60C37">
              <w:rPr>
                <w:rFonts w:ascii="Times New Roman" w:hAnsi="Times New Roman" w:cs="Times New Roman"/>
                <w:lang w:val="ru-RU"/>
              </w:rPr>
              <w:tab/>
              <w:t>решение о подготовке документации по планировке территории с приложением задания.</w:t>
            </w:r>
          </w:p>
        </w:tc>
      </w:tr>
      <w:tr w:rsidR="00D60C37" w14:paraId="68AF6580" w14:textId="77777777" w:rsidTr="00D60C3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0E0D7" w14:textId="77777777" w:rsidR="00D60C37" w:rsidRDefault="00D60C3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E673B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 xml:space="preserve">Информация о земельных </w:t>
            </w:r>
            <w:r w:rsidRPr="00D60C37">
              <w:rPr>
                <w:rFonts w:ascii="Times New Roman" w:hAnsi="Times New Roman" w:cs="Times New Roman"/>
                <w:lang w:val="ru-RU"/>
              </w:rPr>
              <w:lastRenderedPageBreak/>
              <w:t>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1514" w14:textId="77777777" w:rsidR="00D60C37" w:rsidRDefault="00D60C37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38:22:030003:621</w:t>
            </w:r>
          </w:p>
          <w:p w14:paraId="06548785" w14:textId="77777777" w:rsidR="00D60C37" w:rsidRDefault="00D60C37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Площадь 0,175 га</w:t>
            </w:r>
          </w:p>
          <w:p w14:paraId="73DFB854" w14:textId="77777777" w:rsidR="00D60C37" w:rsidRDefault="00D60C37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D60C37" w:rsidRPr="00D73DEC" w14:paraId="4D026FDB" w14:textId="77777777" w:rsidTr="00D60C3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5CA6D" w14:textId="77777777" w:rsidR="00D60C37" w:rsidRDefault="00D60C3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372CB" w14:textId="77777777" w:rsidR="00D60C37" w:rsidRPr="00D60C37" w:rsidRDefault="00D60C37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/>
              </w:rPr>
            </w:pPr>
            <w:r w:rsidRPr="00D60C37">
              <w:rPr>
                <w:rFonts w:ascii="Times New Roman" w:hAnsi="Times New Roman" w:cs="Times New Roman"/>
                <w:lang w:val="ru-RU"/>
              </w:rPr>
              <w:t>Цель подготовки документации по планировке территории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79C41" w14:textId="77777777" w:rsidR="00D60C37" w:rsidRPr="00D60C37" w:rsidRDefault="00D60C37">
            <w:pPr>
              <w:spacing w:line="240" w:lineRule="atLeast"/>
              <w:rPr>
                <w:rFonts w:ascii="Times New Roman" w:hAnsi="Times New Roman" w:cstheme="minorBidi"/>
                <w:lang w:val="ru-RU"/>
              </w:rPr>
            </w:pPr>
            <w:r w:rsidRPr="00D60C37">
              <w:rPr>
                <w:rFonts w:ascii="Times New Roman" w:hAnsi="Times New Roman"/>
                <w:lang w:val="ru-RU"/>
              </w:rPr>
              <w:t>а) установление границ публичного сервитута;</w:t>
            </w:r>
          </w:p>
          <w:p w14:paraId="70D24087" w14:textId="77777777" w:rsidR="00D60C37" w:rsidRPr="00D60C37" w:rsidRDefault="00D60C37">
            <w:pPr>
              <w:spacing w:line="240" w:lineRule="atLeas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60C37">
              <w:rPr>
                <w:rFonts w:ascii="Times New Roman" w:hAnsi="Times New Roman"/>
                <w:lang w:val="ru-RU"/>
              </w:rPr>
              <w:t>б) установление ЗОУИТ охранной зоны ВЛ.</w:t>
            </w:r>
          </w:p>
        </w:tc>
      </w:tr>
    </w:tbl>
    <w:p w14:paraId="718A054A" w14:textId="77777777" w:rsidR="00D60C37" w:rsidRPr="00D60C37" w:rsidRDefault="00D60C37" w:rsidP="00D60C37">
      <w:pPr>
        <w:rPr>
          <w:rFonts w:asciiTheme="minorHAnsi" w:eastAsiaTheme="minorEastAsia" w:hAnsiTheme="minorHAnsi" w:cstheme="minorBidi"/>
          <w:sz w:val="22"/>
          <w:szCs w:val="22"/>
          <w:lang w:val="ru-RU" w:eastAsia="ru-RU"/>
        </w:rPr>
      </w:pPr>
    </w:p>
    <w:p w14:paraId="682DE0F4" w14:textId="77777777" w:rsidR="00D60C37" w:rsidRPr="007E54F1" w:rsidRDefault="00D60C37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4E834284" w14:textId="77777777" w:rsidR="00C55741" w:rsidRPr="007E54F1" w:rsidRDefault="00C55741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1C9BB20C" w14:textId="77777777" w:rsidR="00C55741" w:rsidRPr="007E54F1" w:rsidRDefault="00C55741" w:rsidP="00C5574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512C97C9" w14:textId="77777777" w:rsidR="00C55741" w:rsidRPr="007E54F1" w:rsidRDefault="00C55741" w:rsidP="00C55741">
      <w:pPr>
        <w:rPr>
          <w:rFonts w:ascii="Times New Roman" w:hAnsi="Times New Roman" w:cs="Times New Roman"/>
          <w:lang w:val="ru-RU"/>
        </w:rPr>
      </w:pPr>
    </w:p>
    <w:p w14:paraId="36C7EACA" w14:textId="77777777" w:rsidR="00C55741" w:rsidRPr="007E54F1" w:rsidRDefault="00C55741" w:rsidP="00E47D15">
      <w:pPr>
        <w:rPr>
          <w:rFonts w:ascii="Times New Roman" w:hAnsi="Times New Roman" w:cs="Times New Roman"/>
          <w:lang w:val="ru-RU"/>
        </w:rPr>
      </w:pPr>
    </w:p>
    <w:p w14:paraId="2E870905" w14:textId="77777777" w:rsidR="00E47D15" w:rsidRPr="007E54F1" w:rsidRDefault="00E47D15" w:rsidP="00493DD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0D71E328" w14:textId="77777777" w:rsidR="00821F59" w:rsidRPr="007E54F1" w:rsidRDefault="00821F59">
      <w:pPr>
        <w:rPr>
          <w:rFonts w:ascii="Times New Roman" w:hAnsi="Times New Roman" w:cs="Times New Roman"/>
          <w:lang w:val="ru-RU"/>
        </w:rPr>
      </w:pPr>
    </w:p>
    <w:sectPr w:rsidR="00821F59" w:rsidRPr="007E5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044F"/>
    <w:rsid w:val="000A044F"/>
    <w:rsid w:val="00161A1E"/>
    <w:rsid w:val="00354981"/>
    <w:rsid w:val="00392B80"/>
    <w:rsid w:val="00493DD3"/>
    <w:rsid w:val="00501106"/>
    <w:rsid w:val="00733F8E"/>
    <w:rsid w:val="007E54F1"/>
    <w:rsid w:val="00821F59"/>
    <w:rsid w:val="00915BAE"/>
    <w:rsid w:val="009D2516"/>
    <w:rsid w:val="00C55741"/>
    <w:rsid w:val="00D60C37"/>
    <w:rsid w:val="00D73DEC"/>
    <w:rsid w:val="00E47D15"/>
    <w:rsid w:val="00F9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73839"/>
  <w15:docId w15:val="{DA842A0E-D6CC-4658-8898-6CAC0B1D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DD3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3DD3"/>
    <w:rPr>
      <w:color w:val="0563C1" w:themeColor="hyperlink"/>
      <w:u w:val="single"/>
    </w:rPr>
  </w:style>
  <w:style w:type="paragraph" w:styleId="a4">
    <w:name w:val="No Spacing"/>
    <w:uiPriority w:val="1"/>
    <w:qFormat/>
    <w:rsid w:val="00493DD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5498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4981"/>
    <w:rPr>
      <w:rFonts w:ascii="Segoe UI" w:eastAsia="Times New Roman" w:hAnsi="Segoe UI" w:cs="Segoe UI"/>
      <w:sz w:val="18"/>
      <w:szCs w:val="18"/>
      <w:lang w:val="en-US" w:bidi="en-US"/>
    </w:rPr>
  </w:style>
  <w:style w:type="paragraph" w:styleId="a7">
    <w:name w:val="List Paragraph"/>
    <w:basedOn w:val="a"/>
    <w:uiPriority w:val="34"/>
    <w:qFormat/>
    <w:rsid w:val="00501106"/>
    <w:pPr>
      <w:ind w:left="720"/>
      <w:contextualSpacing/>
    </w:pPr>
  </w:style>
  <w:style w:type="paragraph" w:customStyle="1" w:styleId="ConsPlusNormal">
    <w:name w:val="ConsPlusNormal"/>
    <w:rsid w:val="005011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59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3624</Words>
  <Characters>20663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15</cp:revision>
  <cp:lastPrinted>2022-02-24T07:35:00Z</cp:lastPrinted>
  <dcterms:created xsi:type="dcterms:W3CDTF">2022-02-07T02:27:00Z</dcterms:created>
  <dcterms:modified xsi:type="dcterms:W3CDTF">2025-02-27T06:54:00Z</dcterms:modified>
</cp:coreProperties>
</file>