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Умышленное уничтожение или повреждение имущества – ст. 167 УК РФ</w:t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Ответственность за умышленное ограничение или лишение собственника возможности пользоваться своим имуществом в связи с его уничтожением или повреждением предусмотрена статьей 167 УК РФ. </w:t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Предметом </w:t>
      </w:r>
      <w:r>
        <w:rPr>
          <w:rFonts w:cs="Times New Roman" w:ascii="Times New Roman" w:hAnsi="Times New Roman"/>
          <w:sz w:val="28"/>
          <w:szCs w:val="28"/>
        </w:rPr>
        <w:t>данного посягательства является чужое имущество, то есть не принадлежащие преступнику материальные ценности, вещи и так далее.</w:t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Совершается преступление двумя способами:</w:t>
      </w:r>
    </w:p>
    <w:p>
      <w:pPr>
        <w:pStyle w:val="ListParagraph"/>
        <w:numPr>
          <w:ilvl w:val="0"/>
          <w:numId w:val="1"/>
        </w:numPr>
        <w:spacing w:lineRule="auto" w:line="240"/>
        <w:ind w:hanging="360" w:left="284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уничтожением, то есть таким внешним воздействием, в результате которого имущество полностью прекращает свое физическое существование либо приводится в полную негодность для использования по назначению;</w:t>
      </w:r>
    </w:p>
    <w:p>
      <w:pPr>
        <w:pStyle w:val="ListParagraph"/>
        <w:numPr>
          <w:ilvl w:val="0"/>
          <w:numId w:val="1"/>
        </w:numPr>
        <w:spacing w:lineRule="auto" w:line="240"/>
        <w:ind w:hanging="360" w:left="284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повреждением, то есть таким изменением свойств имущества, при котором существенно уменьшается его полезность и предмет становится частично или полностью непригодным для использования по назначению без ремонта или иных восстановительных действий.</w:t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Преступление считается оконченным</w:t>
      </w:r>
      <w:r>
        <w:rPr>
          <w:rFonts w:cs="Times New Roman" w:ascii="Times New Roman" w:hAnsi="Times New Roman"/>
          <w:sz w:val="28"/>
          <w:szCs w:val="28"/>
        </w:rPr>
        <w:t xml:space="preserve"> со времени наступления вредных последствий - необходимого элемента для привлечения лица к уголовной ответственности. </w:t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Материальный ущерб должен быть не только реальным, но и значительным. </w:t>
      </w:r>
      <w:r>
        <w:rPr>
          <w:rFonts w:cs="Times New Roman" w:ascii="Times New Roman" w:hAnsi="Times New Roman"/>
          <w:b/>
          <w:bCs/>
          <w:sz w:val="28"/>
          <w:szCs w:val="28"/>
        </w:rPr>
        <w:t>«Значительность» ущерба</w:t>
      </w:r>
      <w:r>
        <w:rPr>
          <w:rFonts w:cs="Times New Roman" w:ascii="Times New Roman" w:hAnsi="Times New Roman"/>
          <w:sz w:val="28"/>
          <w:szCs w:val="28"/>
        </w:rPr>
        <w:t xml:space="preserve"> при повреждении или уничтожении имущества определяется согласно пункту 2 примечаний к статье 158 УК РФ, составляет не менее 5000 руб.</w:t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определении размера ущерба поврежденного или уничтоженного имущества во внимание принимается стоимость материалов и работы по восстановлению поврежденного имущества.</w:t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 качестве квалифицирующих признаков в ч.2 ст.167 УК РФ</w:t>
      </w:r>
      <w:r>
        <w:rPr>
          <w:rFonts w:cs="Times New Roman" w:ascii="Times New Roman" w:hAnsi="Times New Roman"/>
          <w:sz w:val="28"/>
          <w:szCs w:val="28"/>
        </w:rPr>
        <w:t xml:space="preserve"> указаны хулиганские побуждения, поджог, взрыв, иные общеопасные способы, смерть человека по неосторожности или иные тяжкие последствия.</w:t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Уничтожение или повреждение чужого имущества возможно только с умыслом, прямым или косвенным.</w:t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уничтожения или повреждения имущества путем поджога или иного общеопасного способа, причинившего смерть или вред здоровью человека, содеянное оценивается как совокупность преступлений, предусмотренных ч.2 ст.167 УК РФ и статей, предусматривающих уголовную ответственность в зависимости от наступивших последствий.</w:t>
      </w:r>
    </w:p>
    <w:p>
      <w:pPr>
        <w:pStyle w:val="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before="0" w:after="1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 xml:space="preserve">                                                                                                 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Прокуратура разъясняет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50e58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250e58"/>
    <w:pPr>
      <w:spacing w:before="0" w:after="16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LibreOffice/24.8.7.2$Linux_X86_64 LibreOffice_project/480$Build-2</Application>
  <AppVersion>15.0000</AppVersion>
  <Pages>1</Pages>
  <Words>254</Words>
  <Characters>1808</Characters>
  <CharactersWithSpaces>2149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2024-09-13T04:03:00Z</dcterms:created>
  <dc:creator>Asus</dc:creator>
  <dc:description/>
  <dc:language>ru-RU</dc:language>
  <cp:lastModifiedBy/>
  <dcterms:modified xsi:type="dcterms:W3CDTF">2026-03-19T14:23:55Z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