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5"/>
        <w:tblW w:w="10349" w:type="dxa"/>
        <w:jc w:val="left"/>
        <w:tblInd w:w="-318" w:type="dxa"/>
        <w:tblLayout w:type="fixed"/>
        <w:tblCellMar>
          <w:top w:w="0" w:type="dxa"/>
          <w:left w:w="108" w:type="dxa"/>
          <w:bottom w:w="0" w:type="dxa"/>
          <w:right w:w="108" w:type="dxa"/>
        </w:tblCellMar>
        <w:tblLook w:val="04a0" w:noHBand="0" w:noVBand="1" w:firstColumn="1" w:lastRow="0" w:lastColumn="0" w:firstRow="1"/>
      </w:tblPr>
      <w:tblGrid>
        <w:gridCol w:w="845"/>
        <w:gridCol w:w="711"/>
        <w:gridCol w:w="564"/>
        <w:gridCol w:w="711"/>
        <w:gridCol w:w="2407"/>
        <w:gridCol w:w="2694"/>
        <w:gridCol w:w="2417"/>
      </w:tblGrid>
      <w:tr>
        <w:trPr>
          <w:trHeight w:val="330" w:hRule="exact"/>
        </w:trPr>
        <w:tc>
          <w:tcPr>
            <w:tcW w:w="5238" w:type="dxa"/>
            <w:gridSpan w:val="5"/>
            <w:vMerge w:val="restart"/>
            <w:tcBorders>
              <w:top w:val="nil"/>
              <w:left w:val="nil"/>
              <w:bottom w:val="nil"/>
              <w:right w:val="nil"/>
            </w:tcBorders>
          </w:tcPr>
          <w:p>
            <w:pPr>
              <w:pStyle w:val="Normal"/>
              <w:widowControl/>
              <w:suppressAutoHyphens w:val="true"/>
              <w:spacing w:before="0" w:after="0"/>
              <w:jc w:val="left"/>
              <w:rPr>
                <w:rFonts w:ascii="Times New Roman" w:hAnsi="Times New Roman" w:eastAsia="Calibri" w:cs=""/>
                <w:kern w:val="0"/>
                <w:sz w:val="28"/>
                <w:szCs w:val="28"/>
                <w:lang w:val="ru-RU" w:eastAsia="en-US" w:bidi="ar-SA"/>
              </w:rPr>
            </w:pPr>
            <w:r>
              <w:rPr>
                <w:rFonts w:eastAsia="Calibri" w:cs=""/>
                <w:kern w:val="0"/>
                <w:sz w:val="28"/>
                <w:szCs w:val="28"/>
                <w:lang w:val="ru-RU" w:eastAsia="en-US" w:bidi="ar-SA"/>
              </w:rPr>
            </w:r>
          </w:p>
          <w:tbl>
            <w:tblPr>
              <w:tblStyle w:val="1"/>
              <w:tblW w:w="425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53"/>
            </w:tblGrid>
            <w:tr>
              <w:trPr>
                <w:trHeight w:val="3091" w:hRule="exact"/>
              </w:trPr>
              <w:tc>
                <w:tcPr>
                  <w:tcW w:w="4253"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
                      <w:kern w:val="0"/>
                      <w:sz w:val="28"/>
                      <w:szCs w:val="28"/>
                      <w:lang w:val="ru-RU" w:eastAsia="en-US" w:bidi="ar-SA"/>
                    </w:rPr>
                  </w:pPr>
                  <w:bookmarkStart w:id="0" w:name="STAMPCORNER"/>
                  <w:r>
                    <w:rPr>
                      <w:rFonts w:eastAsia="Calibri" w:cs="Times New Roman"/>
                      <w:kern w:val="0"/>
                      <w:sz w:val="28"/>
                      <w:szCs w:val="28"/>
                      <w:lang w:val="ru-RU" w:eastAsia="en-US" w:bidi="ar-SA"/>
                    </w:rPr>
                    <w:t>STAMPCORNER</w:t>
                  </w:r>
                  <w:bookmarkEnd w:id="0"/>
                </w:p>
              </w:tc>
            </w:tr>
          </w:tbl>
          <w:p>
            <w:pPr>
              <w:pStyle w:val="Normal"/>
              <w:widowControl/>
              <w:tabs>
                <w:tab w:val="clear" w:pos="708"/>
                <w:tab w:val="right" w:pos="4784" w:leader="none"/>
              </w:tabs>
              <w:suppressAutoHyphens w:val="true"/>
              <w:spacing w:before="0" w:after="0"/>
              <w:ind w:left="113"/>
              <w:jc w:val="center"/>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5111" w:type="dxa"/>
            <w:gridSpan w:val="2"/>
            <w:tcBorders>
              <w:top w:val="nil"/>
              <w:left w:val="nil"/>
              <w:bottom w:val="nil"/>
              <w:right w:val="nil"/>
            </w:tcBorders>
          </w:tcPr>
          <w:p>
            <w:pPr>
              <w:pStyle w:val="Normal"/>
              <w:widowControl/>
              <w:suppressAutoHyphens w:val="true"/>
              <w:spacing w:before="240" w:after="0"/>
              <w:jc w:val="left"/>
              <w:rPr>
                <w:rFonts w:ascii="Times New Roman" w:hAnsi="Times New Roman" w:eastAsia="Calibri" w:cs="Times New Roman"/>
                <w:kern w:val="0"/>
                <w:sz w:val="28"/>
                <w:szCs w:val="28"/>
                <w:lang w:val="en-US" w:eastAsia="en-US" w:bidi="ar-SA"/>
              </w:rPr>
            </w:pPr>
            <w:r>
              <w:rPr>
                <w:rFonts w:eastAsia="Calibri" w:cs="Times New Roman"/>
                <w:kern w:val="0"/>
                <w:sz w:val="28"/>
                <w:szCs w:val="28"/>
                <w:lang w:val="en-US" w:eastAsia="en-US" w:bidi="ar-SA"/>
              </w:rPr>
            </w:r>
          </w:p>
        </w:tc>
      </w:tr>
      <w:tr>
        <w:trPr>
          <w:trHeight w:val="2407" w:hRule="atLeast"/>
        </w:trPr>
        <w:tc>
          <w:tcPr>
            <w:tcW w:w="5238" w:type="dxa"/>
            <w:gridSpan w:val="5"/>
            <w:vMerge w:val="continue"/>
            <w:tcBorders>
              <w:top w:val="nil"/>
              <w:left w:val="nil"/>
              <w:bottom w:val="nil"/>
              <w:right w:val="nil"/>
            </w:tcBorders>
          </w:tcPr>
          <w:p>
            <w:pPr>
              <w:pStyle w:val="Normal"/>
              <w:widowControl/>
              <w:tabs>
                <w:tab w:val="clear" w:pos="708"/>
                <w:tab w:val="right" w:pos="4784" w:leader="none"/>
              </w:tabs>
              <w:suppressAutoHyphens w:val="true"/>
              <w:spacing w:before="0" w:after="0"/>
              <w:ind w:left="113"/>
              <w:jc w:val="left"/>
              <w:rPr>
                <w:rFonts w:ascii="Times New Roman" w:hAnsi="Times New Roman" w:eastAsia="Calibri" w:cs="Times New Roman"/>
                <w:kern w:val="0"/>
                <w:sz w:val="28"/>
                <w:szCs w:val="28"/>
                <w:lang w:val="ru-RU" w:eastAsia="ru-RU" w:bidi="ar-SA"/>
              </w:rPr>
            </w:pPr>
            <w:r>
              <w:rPr>
                <w:rFonts w:eastAsia="Calibri" w:cs="Times New Roman"/>
                <w:kern w:val="0"/>
                <w:sz w:val="28"/>
                <w:szCs w:val="28"/>
                <w:lang w:val="ru-RU" w:eastAsia="ru-RU" w:bidi="ar-SA"/>
              </w:rPr>
            </w:r>
          </w:p>
        </w:tc>
        <w:tc>
          <w:tcPr>
            <w:tcW w:w="5111" w:type="dxa"/>
            <w:gridSpan w:val="2"/>
            <w:vMerge w:val="restart"/>
            <w:tcBorders>
              <w:top w:val="nil"/>
              <w:left w:val="nil"/>
              <w:bottom w:val="nil"/>
              <w:right w:val="nil"/>
            </w:tcBorders>
          </w:tcPr>
          <w:p>
            <w:pPr>
              <w:pStyle w:val="Normal"/>
              <w:widowControl/>
              <w:suppressAutoHyphens w:val="true"/>
              <w:bidi w:val="0"/>
              <w:spacing w:lineRule="exact" w:line="240" w:before="0" w:after="0"/>
              <w:ind w:hanging="0" w:left="340" w:right="113"/>
              <w:jc w:val="both"/>
              <w:rPr>
                <w:rFonts w:ascii="Times New Roman" w:hAnsi="Times New Roman" w:cs="Times New Roman"/>
                <w:sz w:val="28"/>
                <w:szCs w:val="28"/>
              </w:rPr>
            </w:pPr>
            <w:r>
              <w:rPr>
                <w:rFonts w:cs="Times New Roman"/>
                <w:sz w:val="28"/>
                <w:szCs w:val="28"/>
              </w:rPr>
              <w:t>Мэру г. Бодайбо и района</w:t>
            </w:r>
          </w:p>
          <w:p>
            <w:pPr>
              <w:pStyle w:val="Normal"/>
              <w:widowControl/>
              <w:suppressAutoHyphens w:val="true"/>
              <w:bidi w:val="0"/>
              <w:spacing w:lineRule="exact" w:line="240" w:before="0" w:after="0"/>
              <w:ind w:hanging="0" w:left="340" w:right="113"/>
              <w:jc w:val="both"/>
              <w:rPr>
                <w:rFonts w:ascii="Times New Roman" w:hAnsi="Times New Roman" w:cs="Times New Roman"/>
                <w:sz w:val="28"/>
                <w:szCs w:val="28"/>
              </w:rPr>
            </w:pPr>
            <w:r>
              <w:rPr>
                <w:rFonts w:cs="Times New Roman"/>
                <w:sz w:val="28"/>
                <w:szCs w:val="28"/>
              </w:rPr>
            </w:r>
          </w:p>
          <w:p>
            <w:pPr>
              <w:pStyle w:val="Normal"/>
              <w:widowControl/>
              <w:suppressAutoHyphens w:val="true"/>
              <w:bidi w:val="0"/>
              <w:spacing w:lineRule="exact" w:line="240" w:before="0" w:after="0"/>
              <w:ind w:hanging="0" w:left="340" w:right="113"/>
              <w:jc w:val="both"/>
              <w:rPr>
                <w:rFonts w:ascii="Times New Roman" w:hAnsi="Times New Roman" w:cs="Times New Roman"/>
                <w:sz w:val="28"/>
                <w:szCs w:val="28"/>
              </w:rPr>
            </w:pPr>
            <w:r>
              <w:rPr>
                <w:rFonts w:cs="Times New Roman"/>
                <w:sz w:val="28"/>
                <w:szCs w:val="28"/>
              </w:rPr>
              <w:t>Юмашеву Е.Ю.</w:t>
            </w:r>
          </w:p>
          <w:p>
            <w:pPr>
              <w:pStyle w:val="Normal"/>
              <w:widowControl/>
              <w:suppressAutoHyphens w:val="true"/>
              <w:bidi w:val="0"/>
              <w:spacing w:lineRule="exact" w:line="240" w:before="0" w:after="0"/>
              <w:ind w:hanging="0" w:left="340" w:right="113"/>
              <w:jc w:val="both"/>
              <w:rPr>
                <w:rFonts w:ascii="Times New Roman" w:hAnsi="Times New Roman" w:cs="Times New Roman"/>
                <w:sz w:val="28"/>
                <w:szCs w:val="28"/>
              </w:rPr>
            </w:pPr>
            <w:r>
              <w:rPr>
                <w:rFonts w:cs="Times New Roman"/>
                <w:sz w:val="28"/>
                <w:szCs w:val="28"/>
              </w:rPr>
            </w:r>
          </w:p>
          <w:p>
            <w:pPr>
              <w:pStyle w:val="Normal"/>
              <w:widowControl/>
              <w:suppressAutoHyphens w:val="true"/>
              <w:bidi w:val="0"/>
              <w:spacing w:lineRule="exact" w:line="240" w:before="0" w:after="0"/>
              <w:ind w:hanging="0" w:left="340" w:right="113"/>
              <w:jc w:val="both"/>
              <w:rPr>
                <w:rFonts w:ascii="Times New Roman" w:hAnsi="Times New Roman" w:cs="Times New Roman"/>
                <w:sz w:val="28"/>
                <w:szCs w:val="28"/>
              </w:rPr>
            </w:pPr>
            <w:hyperlink r:id="rId2">
              <w:permStart w:id="5004961" w:edGrp="everyone"/>
              <w:r>
                <w:rPr>
                  <w:rStyle w:val="Hyperlink"/>
                  <w:rFonts w:cs="Times New Roman"/>
                  <w:sz w:val="28"/>
                  <w:szCs w:val="28"/>
                </w:rPr>
                <w:t>Bodaibo_mer@irmail.ru</w:t>
              </w:r>
              <w:permEnd w:id="5004961"/>
            </w:hyperlink>
          </w:p>
          <w:p>
            <w:pPr>
              <w:pStyle w:val="Normal"/>
              <w:widowControl/>
              <w:suppressAutoHyphens w:val="true"/>
              <w:bidi w:val="0"/>
              <w:spacing w:lineRule="exact" w:line="240" w:before="0" w:after="0"/>
              <w:ind w:hanging="0" w:left="340" w:right="113"/>
              <w:jc w:val="both"/>
              <w:rPr>
                <w:rFonts w:ascii="Times New Roman" w:hAnsi="Times New Roman" w:cs="Times New Roman"/>
                <w:sz w:val="28"/>
                <w:szCs w:val="28"/>
              </w:rPr>
            </w:pPr>
            <w:r>
              <w:rPr/>
            </w:r>
          </w:p>
          <w:p>
            <w:pPr>
              <w:pStyle w:val="Normal"/>
              <w:widowControl/>
              <w:suppressAutoHyphens w:val="true"/>
              <w:bidi w:val="0"/>
              <w:spacing w:lineRule="exact" w:line="240" w:before="0" w:after="0"/>
              <w:ind w:hanging="0" w:left="340" w:right="113"/>
              <w:jc w:val="both"/>
              <w:rPr/>
            </w:pPr>
            <w:r>
              <w:rPr>
                <w:rStyle w:val="Hyperlink"/>
                <w:rFonts w:cs="Times New Roman"/>
                <w:color w:val="000000"/>
                <w:sz w:val="28"/>
                <w:szCs w:val="28"/>
                <w:u w:val="none"/>
              </w:rPr>
              <w:t>главам муниципальных образований</w:t>
            </w:r>
          </w:p>
          <w:p>
            <w:pPr>
              <w:pStyle w:val="Normal"/>
              <w:widowControl/>
              <w:suppressAutoHyphens w:val="true"/>
              <w:bidi w:val="0"/>
              <w:spacing w:lineRule="exact" w:line="240" w:before="0" w:after="0"/>
              <w:ind w:hanging="0" w:left="340" w:right="113"/>
              <w:jc w:val="both"/>
              <w:rPr>
                <w:rFonts w:ascii="Times New Roman" w:hAnsi="Times New Roman" w:cs="Times New Roman"/>
                <w:color w:val="000000"/>
                <w:sz w:val="28"/>
                <w:szCs w:val="28"/>
                <w:u w:val="none"/>
              </w:rPr>
            </w:pPr>
            <w:r>
              <w:rPr>
                <w:rFonts w:cs="Times New Roman"/>
                <w:color w:val="000000"/>
                <w:sz w:val="28"/>
                <w:szCs w:val="28"/>
                <w:u w:val="none"/>
              </w:rPr>
            </w:r>
          </w:p>
        </w:tc>
      </w:tr>
      <w:tr>
        <w:trPr>
          <w:trHeight w:val="359" w:hRule="atLeast"/>
        </w:trPr>
        <w:tc>
          <w:tcPr>
            <w:tcW w:w="5238" w:type="dxa"/>
            <w:gridSpan w:val="5"/>
            <w:tcBorders>
              <w:top w:val="nil"/>
              <w:left w:val="nil"/>
              <w:bottom w:val="nil"/>
              <w:right w:val="nil"/>
            </w:tcBorders>
          </w:tcPr>
          <w:p>
            <w:pPr>
              <w:pStyle w:val="Normal"/>
              <w:widowControl/>
              <w:suppressAutoHyphens w:val="true"/>
              <w:spacing w:before="0" w:after="0"/>
              <w:jc w:val="both"/>
              <w:rPr>
                <w:rFonts w:ascii="Times New Roman" w:hAnsi="Times New Roman" w:eastAsia="Calibri" w:cs=""/>
                <w:kern w:val="0"/>
                <w:sz w:val="28"/>
                <w:szCs w:val="28"/>
                <w:lang w:val="ru-RU" w:eastAsia="en-US" w:bidi="ar-SA"/>
              </w:rPr>
            </w:pPr>
            <w:bookmarkStart w:id="1" w:name="REGNUMDATESTAMP"/>
            <w:r>
              <w:rPr>
                <w:rFonts w:eastAsia="Calibri" w:cs="Times New Roman"/>
                <w:kern w:val="0"/>
                <w:sz w:val="28"/>
                <w:szCs w:val="28"/>
                <w:lang w:val="ru-RU" w:eastAsia="en-US" w:bidi="ar-SA"/>
              </w:rPr>
              <w:t>штамп регистрации</w:t>
            </w:r>
            <w:bookmarkEnd w:id="1"/>
          </w:p>
          <w:p>
            <w:pPr>
              <w:pStyle w:val="Normal"/>
              <w:widowControl/>
              <w:suppressAutoHyphens w:val="true"/>
              <w:spacing w:before="0" w:after="0"/>
              <w:jc w:val="both"/>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5111" w:type="dxa"/>
            <w:gridSpan w:val="2"/>
            <w:vMerge w:val="continue"/>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r>
        <w:trPr>
          <w:trHeight w:val="70" w:hRule="exact"/>
        </w:trPr>
        <w:tc>
          <w:tcPr>
            <w:tcW w:w="845" w:type="dxa"/>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711"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1275" w:type="dxa"/>
            <w:gridSpan w:val="2"/>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5101" w:type="dxa"/>
            <w:gridSpan w:val="2"/>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2417" w:type="dxa"/>
            <w:tcBorders>
              <w:top w:val="nil"/>
              <w:left w:val="nil"/>
              <w:bottom w:val="nil"/>
              <w:right w:val="nil"/>
            </w:tcBorders>
          </w:tcPr>
          <w:p>
            <w:pPr>
              <w:pStyle w:val="Normal"/>
              <w:widowControl/>
              <w:suppressAutoHyphens w:val="true"/>
              <w:spacing w:before="0" w:after="0"/>
              <w:jc w:val="left"/>
              <w:rPr>
                <w:rFonts w:ascii="Times New Roman" w:hAnsi="Times New Roman" w:eastAsia="Calibri" w:cs=""/>
                <w:kern w:val="0"/>
                <w:sz w:val="28"/>
                <w:szCs w:val="28"/>
                <w:lang w:val="ru-RU" w:eastAsia="en-US" w:bidi="ar-SA"/>
              </w:rPr>
            </w:pPr>
            <w:r>
              <w:rPr>
                <w:rFonts w:eastAsia="Calibri" w:cs=""/>
                <w:kern w:val="0"/>
                <w:sz w:val="28"/>
                <w:szCs w:val="28"/>
                <w:lang w:val="ru-RU" w:eastAsia="en-US" w:bidi="ar-SA"/>
              </w:rPr>
            </w:r>
          </w:p>
        </w:tc>
      </w:tr>
      <w:tr>
        <w:trPr>
          <w:trHeight w:val="20" w:hRule="atLeast"/>
        </w:trPr>
        <w:tc>
          <w:tcPr>
            <w:tcW w:w="845"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1275" w:type="dxa"/>
            <w:gridSpan w:val="2"/>
            <w:tcBorders>
              <w:top w:val="nil"/>
              <w:left w:val="nil"/>
              <w:bottom w:val="nil"/>
              <w:right w:val="nil"/>
            </w:tcBorders>
          </w:tcPr>
          <w:p>
            <w:pPr>
              <w:pStyle w:val="Normal"/>
              <w:widowControl/>
              <w:tabs>
                <w:tab w:val="clear" w:pos="708"/>
                <w:tab w:val="left" w:pos="1005" w:leader="none"/>
              </w:tabs>
              <w:suppressAutoHyphens w:val="true"/>
              <w:spacing w:before="0" w:after="0"/>
              <w:jc w:val="left"/>
              <w:rPr>
                <w:rFonts w:ascii="Times New Roman" w:hAnsi="Times New Roman" w:eastAsia="Calibri" w:cs=""/>
                <w:kern w:val="0"/>
                <w:sz w:val="28"/>
                <w:szCs w:val="28"/>
                <w:lang w:val="ru-RU" w:eastAsia="en-US" w:bidi="ar-SA"/>
              </w:rPr>
            </w:pPr>
            <w:r>
              <w:rPr>
                <w:rFonts w:eastAsia="Calibri" w:cs=""/>
                <w:kern w:val="0"/>
                <w:sz w:val="28"/>
                <w:szCs w:val="28"/>
                <w:lang w:val="ru-RU" w:eastAsia="en-US" w:bidi="ar-SA"/>
              </w:rPr>
            </w:r>
          </w:p>
        </w:tc>
        <w:tc>
          <w:tcPr>
            <w:tcW w:w="711" w:type="dxa"/>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2407"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5111" w:type="dxa"/>
            <w:gridSpan w:val="2"/>
            <w:vMerge w:val="restart"/>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r>
        <w:trPr>
          <w:trHeight w:val="20" w:hRule="atLeast"/>
        </w:trPr>
        <w:tc>
          <w:tcPr>
            <w:tcW w:w="845"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1275" w:type="dxa"/>
            <w:gridSpan w:val="2"/>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711"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2407" w:type="dxa"/>
            <w:tcBorders>
              <w:top w:val="nil"/>
              <w:left w:val="nil"/>
              <w:bottom w:val="nil"/>
              <w:right w:val="nil"/>
            </w:tcBorders>
          </w:tcPr>
          <w:p>
            <w:pPr>
              <w:pStyle w:val="Normal"/>
              <w:widowControl/>
              <w:suppressAutoHyphens w:val="true"/>
              <w:spacing w:before="0" w:after="0"/>
              <w:jc w:val="center"/>
              <w:rPr>
                <w:rFonts w:ascii="Times New Roman" w:hAnsi="Times New Roman" w:eastAsia="Calibri" w:cs="Times New Roman"/>
                <w:color w:themeColor="background1" w:themeShade="d9" w:val="D9D9D9"/>
                <w:kern w:val="0"/>
                <w:sz w:val="28"/>
                <w:szCs w:val="28"/>
                <w:lang w:val="ru-RU" w:eastAsia="en-US" w:bidi="ar-SA"/>
              </w:rPr>
            </w:pPr>
            <w:r>
              <w:rPr>
                <w:rFonts w:eastAsia="Calibri" w:cs="Times New Roman"/>
                <w:color w:themeColor="background1" w:themeShade="d9" w:val="D9D9D9"/>
                <w:kern w:val="0"/>
                <w:sz w:val="28"/>
                <w:szCs w:val="28"/>
                <w:lang w:val="ru-RU" w:eastAsia="en-US" w:bidi="ar-SA"/>
              </w:rPr>
            </w:r>
          </w:p>
        </w:tc>
        <w:tc>
          <w:tcPr>
            <w:tcW w:w="5111" w:type="dxa"/>
            <w:gridSpan w:val="2"/>
            <w:vMerge w:val="continue"/>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bl>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r>
        <w:rPr>
          <w:sz w:val="28"/>
          <w:szCs w:val="28"/>
        </w:rPr>
      </w:r>
    </w:p>
    <w:p>
      <w:pPr>
        <w:pStyle w:val="Normal"/>
        <w:ind w:firstLine="709"/>
        <w:jc w:val="both"/>
        <w:rPr>
          <w:rFonts w:ascii="Times New Roman" w:hAnsi="Times New Roman"/>
          <w:sz w:val="28"/>
          <w:szCs w:val="28"/>
        </w:rPr>
      </w:pPr>
      <w:r>
        <w:rPr>
          <w:sz w:val="28"/>
          <w:szCs w:val="28"/>
        </w:rPr>
        <w:t>В рамках соглашений о взаимодействии и в целях правового просвещения населения направляю в Ваш адрес и для размещения на сайтах органов местного самоуправления разъяснения правового характера следующего содержания.</w:t>
      </w:r>
    </w:p>
    <w:p>
      <w:pPr>
        <w:pStyle w:val="Normal"/>
        <w:spacing w:lineRule="auto" w:line="240" w:before="0" w:after="0"/>
        <w:ind w:hanging="0" w:left="0" w:right="0"/>
        <w:contextualSpacing/>
        <w:jc w:val="both"/>
        <w:rPr>
          <w:b/>
          <w:bCs/>
        </w:rPr>
      </w:pPr>
      <w:r>
        <w:rPr>
          <w:b/>
          <w:bCs/>
          <w:sz w:val="28"/>
          <w:szCs w:val="28"/>
        </w:rPr>
        <w:t xml:space="preserve">1. </w:t>
      </w:r>
      <w:r>
        <w:rPr>
          <w:b/>
          <w:bCs/>
          <w:sz w:val="28"/>
          <w:szCs w:val="28"/>
        </w:rPr>
        <w:t>Прокуратура г. Бодайбо разъясняет, что</w:t>
      </w:r>
      <w:r>
        <w:rPr>
          <w:b/>
          <w:bCs/>
          <w:color w:val="000000"/>
          <w:sz w:val="28"/>
          <w:szCs w:val="28"/>
        </w:rPr>
        <w:t xml:space="preserve"> </w:t>
      </w:r>
      <w:r>
        <w:rPr>
          <w:b/>
          <w:bCs/>
          <w:color w:val="000000"/>
          <w:sz w:val="28"/>
          <w:szCs w:val="28"/>
        </w:rPr>
        <w:t>в</w:t>
      </w:r>
      <w:r>
        <w:rPr>
          <w:b/>
          <w:bCs/>
          <w:color w:val="000000"/>
          <w:sz w:val="28"/>
          <w:szCs w:val="28"/>
        </w:rPr>
        <w:t xml:space="preserve"> отношении отдельных категорий ветеранов боевых действий расширены меры социальной поддержки в виде предоставления отпуска без сохранения заработной платы сроком до 35 календарных дней в году.</w:t>
      </w:r>
    </w:p>
    <w:p>
      <w:pPr>
        <w:pStyle w:val="Style21"/>
        <w:pBdr/>
        <w:spacing w:lineRule="auto" w:line="240" w:before="0" w:after="283"/>
        <w:ind w:hanging="0" w:left="0" w:right="0"/>
        <w:contextualSpacing/>
        <w:jc w:val="both"/>
        <w:rPr/>
      </w:pPr>
      <w:r>
        <w:rPr/>
        <w:tab/>
        <w:t>Федеральны</w:t>
      </w:r>
      <w:r>
        <w:rPr>
          <w:color w:val="000000"/>
        </w:rPr>
        <w:t>м</w:t>
      </w:r>
      <w:r>
        <w:rPr>
          <w:color w:val="000000"/>
        </w:rPr>
        <w:t xml:space="preserve"> </w:t>
      </w:r>
      <w:r>
        <w:rPr>
          <w:strike w:val="false"/>
          <w:dstrike w:val="false"/>
          <w:color w:val="000000"/>
          <w:u w:val="none"/>
          <w:effect w:val="none"/>
        </w:rPr>
        <w:t>закон</w:t>
      </w:r>
      <w:r>
        <w:rPr>
          <w:strike w:val="false"/>
          <w:dstrike w:val="false"/>
          <w:color w:val="000000"/>
          <w:u w:val="none"/>
          <w:effect w:val="none"/>
        </w:rPr>
        <w:t>ом</w:t>
      </w:r>
      <w:r>
        <w:rPr>
          <w:color w:val="000000"/>
        </w:rPr>
        <w:t xml:space="preserve"> от 20.02.2026 </w:t>
      </w:r>
      <w:r>
        <w:rPr>
          <w:color w:val="000000"/>
        </w:rPr>
        <w:t xml:space="preserve">№ </w:t>
      </w:r>
      <w:r>
        <w:rPr>
          <w:color w:val="000000"/>
        </w:rPr>
        <w:t>35-ФЗ внесен</w:t>
      </w:r>
      <w:r>
        <w:rPr>
          <w:color w:val="000000"/>
        </w:rPr>
        <w:t xml:space="preserve">ы </w:t>
      </w:r>
      <w:r>
        <w:rPr>
          <w:color w:val="000000"/>
        </w:rPr>
        <w:t xml:space="preserve">изменения в статью 16 Федерального закона </w:t>
      </w:r>
      <w:r>
        <w:rPr/>
        <w:t xml:space="preserve">«О ветеранах». </w:t>
      </w:r>
      <w:r>
        <w:rPr/>
        <w:t xml:space="preserve">Теперь помимо </w:t>
      </w:r>
      <w:r>
        <w:rPr>
          <w:b w:val="false"/>
        </w:rPr>
        <w:t>использовани</w:t>
      </w:r>
      <w:r>
        <w:rPr>
          <w:b w:val="false"/>
        </w:rPr>
        <w:t>я</w:t>
      </w:r>
      <w:r>
        <w:rPr>
          <w:b w:val="false"/>
        </w:rPr>
        <w:t xml:space="preserve"> ежегодного отпуска в удобное время </w:t>
      </w:r>
      <w:r>
        <w:rPr>
          <w:b w:val="false"/>
        </w:rPr>
        <w:t>п</w:t>
      </w:r>
      <w:r>
        <w:rPr>
          <w:b w:val="false"/>
        </w:rPr>
        <w:t>редоставл</w:t>
      </w:r>
      <w:r>
        <w:rPr>
          <w:b w:val="false"/>
        </w:rPr>
        <w:t>яется</w:t>
      </w:r>
      <w:r>
        <w:rPr>
          <w:b w:val="false"/>
        </w:rPr>
        <w:t xml:space="preserve"> отпуск без сохранения заработной платы сроком до 35 календарных дней в году.</w:t>
      </w:r>
    </w:p>
    <w:p>
      <w:pPr>
        <w:pStyle w:val="Style21"/>
        <w:pBdr/>
        <w:spacing w:lineRule="auto" w:line="240" w:before="0" w:after="283"/>
        <w:ind w:hanging="0" w:left="0" w:right="0"/>
        <w:contextualSpacing/>
        <w:jc w:val="both"/>
        <w:rPr/>
      </w:pPr>
      <w:r>
        <w:rPr>
          <w:b w:val="false"/>
        </w:rPr>
        <w:tab/>
        <w:t>Данная меры социальной поддержки с 20.02.2026 доступна  в</w:t>
      </w:r>
      <w:r>
        <w:rPr>
          <w:b w:val="false"/>
        </w:rPr>
        <w:t>етеранам боевых действий из числа лиц, указанн</w:t>
      </w:r>
      <w:r>
        <w:rPr>
          <w:b w:val="false"/>
          <w:color w:val="000000"/>
        </w:rPr>
        <w:t xml:space="preserve">ых в </w:t>
      </w:r>
      <w:r>
        <w:rPr>
          <w:b w:val="false"/>
          <w:strike w:val="false"/>
          <w:dstrike w:val="false"/>
          <w:color w:val="000000"/>
          <w:u w:val="none"/>
          <w:effect w:val="none"/>
        </w:rPr>
        <w:t>подпунктах 6</w:t>
      </w:r>
      <w:r>
        <w:rPr>
          <w:b w:val="false"/>
          <w:color w:val="000000"/>
        </w:rPr>
        <w:t xml:space="preserve">, </w:t>
      </w:r>
      <w:r>
        <w:rPr>
          <w:b w:val="false"/>
          <w:strike w:val="false"/>
          <w:dstrike w:val="false"/>
          <w:color w:val="000000"/>
          <w:u w:val="none"/>
          <w:effect w:val="none"/>
        </w:rPr>
        <w:t>7</w:t>
      </w:r>
      <w:r>
        <w:rPr>
          <w:b w:val="false"/>
          <w:color w:val="000000"/>
        </w:rPr>
        <w:t xml:space="preserve"> и </w:t>
      </w:r>
      <w:r>
        <w:rPr>
          <w:b w:val="false"/>
          <w:strike w:val="false"/>
          <w:dstrike w:val="false"/>
          <w:color w:val="000000"/>
          <w:u w:val="none"/>
          <w:effect w:val="none"/>
        </w:rPr>
        <w:t>9 пункта 1 статьи 3</w:t>
      </w:r>
      <w:r>
        <w:rPr>
          <w:b w:val="false"/>
          <w:color w:val="000000"/>
        </w:rPr>
        <w:t xml:space="preserve"> настоящего Федерального закона «</w:t>
      </w:r>
      <w:r>
        <w:rPr>
          <w:b w:val="false"/>
          <w:color w:val="000000"/>
        </w:rPr>
        <w:t>О ветеранах»</w:t>
      </w:r>
      <w:r>
        <w:rPr>
          <w:b w:val="false"/>
          <w:color w:val="000000"/>
        </w:rPr>
        <w:t>.</w:t>
      </w:r>
    </w:p>
    <w:p>
      <w:pPr>
        <w:pStyle w:val="Style21"/>
        <w:pBdr/>
        <w:spacing w:lineRule="auto" w:line="240" w:before="0" w:after="283"/>
        <w:ind w:hanging="0" w:left="0" w:right="0"/>
        <w:contextualSpacing/>
        <w:jc w:val="both"/>
        <w:rPr/>
      </w:pPr>
      <w:r>
        <w:rPr>
          <w:b w:val="false"/>
          <w:color w:val="000000"/>
        </w:rPr>
        <w:tab/>
        <w:t>Р</w:t>
      </w:r>
      <w:r>
        <w:rPr>
          <w:b w:val="false"/>
          <w:color w:val="000000"/>
        </w:rPr>
        <w:t xml:space="preserve">ечь идет о лицах, </w:t>
      </w:r>
      <w:r>
        <w:rPr>
          <w:b w:val="false"/>
        </w:rPr>
        <w:t xml:space="preserve">направлявшихся на работу в Афганистан в период с декабря 1979 года по декабрь 1989 года и на работу для обеспечения выполнения специальных задач на территории Сирийской Арабской Республики с 30 сентября 2015 года, отработавших установленный при направлении срок либо откомандированных досрочно по уважительным причинам, а также лицах, направлявшихся для обеспечения выполнения задач в ходе специальной военной операции на территориях Украины, ДНР и ЛНР с 24 февраля 2022 года, на территориях Запорожской и Херсонской областей с 30 сентября 2022 года, имеющих особые заслуги в выполнении указанных задач и при этом отработавших на указанных территориях в общей сложности не менее шести месяцев либо откомандированных досрочно по уважительным причинам. </w:t>
      </w:r>
    </w:p>
    <w:p>
      <w:pPr>
        <w:pStyle w:val="Style21"/>
        <w:pBdr/>
        <w:spacing w:lineRule="auto" w:line="240" w:before="0" w:after="283"/>
        <w:ind w:hanging="0" w:left="0" w:right="0"/>
        <w:contextualSpacing/>
        <w:jc w:val="both"/>
        <w:rPr>
          <w:b/>
          <w:bCs/>
        </w:rPr>
      </w:pPr>
      <w:r>
        <w:rPr>
          <w:b/>
          <w:bCs/>
        </w:rPr>
        <w:t>2.</w:t>
      </w:r>
      <w:r>
        <w:rPr>
          <w:b/>
          <w:bCs/>
          <w:sz w:val="28"/>
          <w:szCs w:val="28"/>
        </w:rPr>
        <w:t xml:space="preserve">Прокуратура г. Бодайбо сообщает о дополнении законодателем </w:t>
      </w:r>
      <w:r>
        <w:rPr>
          <w:b/>
          <w:bCs/>
        </w:rPr>
        <w:t>период</w:t>
      </w:r>
      <w:r>
        <w:rPr>
          <w:b/>
          <w:bCs/>
        </w:rPr>
        <w:t>ов</w:t>
      </w:r>
      <w:r>
        <w:rPr>
          <w:b/>
          <w:bCs/>
        </w:rPr>
        <w:t xml:space="preserve"> службы, включаемы</w:t>
      </w:r>
      <w:r>
        <w:rPr>
          <w:b/>
          <w:bCs/>
        </w:rPr>
        <w:t>х</w:t>
      </w:r>
      <w:r>
        <w:rPr>
          <w:b/>
          <w:bCs/>
        </w:rPr>
        <w:t xml:space="preserve"> в выслугу лет на льготных условиях, для назначения военной пенсии</w:t>
      </w:r>
    </w:p>
    <w:p>
      <w:pPr>
        <w:pStyle w:val="BodyText"/>
        <w:spacing w:lineRule="atLeast" w:line="165" w:before="0" w:after="0"/>
        <w:ind w:hanging="0" w:left="0" w:right="0"/>
        <w:rPr/>
      </w:pPr>
      <w:r>
        <w:rPr/>
        <w:t> </w:t>
      </w:r>
    </w:p>
    <w:p>
      <w:pPr>
        <w:pStyle w:val="Style21"/>
        <w:pBdr/>
        <w:spacing w:lineRule="auto" w:line="240" w:before="0" w:after="0"/>
        <w:ind w:hanging="0" w:left="0" w:right="0"/>
        <w:contextualSpacing/>
        <w:jc w:val="both"/>
        <w:rPr/>
      </w:pPr>
      <w:r>
        <w:rPr>
          <w:strike w:val="false"/>
          <w:dstrike w:val="false"/>
          <w:color w:val="000000"/>
          <w:u w:val="none"/>
          <w:effect w:val="none"/>
        </w:rPr>
        <w:tab/>
        <w:t>П</w:t>
      </w:r>
      <w:r>
        <w:rPr>
          <w:strike w:val="false"/>
          <w:dstrike w:val="false"/>
          <w:color w:val="000000"/>
          <w:u w:val="none"/>
          <w:effect w:val="none"/>
        </w:rPr>
        <w:t>остановление</w:t>
      </w:r>
      <w:r>
        <w:rPr>
          <w:strike w:val="false"/>
          <w:dstrike w:val="false"/>
          <w:color w:val="000000"/>
          <w:u w:val="none"/>
          <w:effect w:val="none"/>
        </w:rPr>
        <w:t>м</w:t>
      </w:r>
      <w:r>
        <w:rPr>
          <w:color w:val="000000"/>
        </w:rPr>
        <w:t xml:space="preserve"> Правительства РФ от 16.02.2026 </w:t>
      </w:r>
      <w:r>
        <w:rPr>
          <w:color w:val="000000"/>
        </w:rPr>
        <w:t>№</w:t>
      </w:r>
      <w:r>
        <w:rPr>
          <w:color w:val="000000"/>
        </w:rPr>
        <w:t xml:space="preserve"> 142 внесен</w:t>
      </w:r>
      <w:r>
        <w:rPr>
          <w:color w:val="000000"/>
        </w:rPr>
        <w:t>ы</w:t>
      </w:r>
      <w:r>
        <w:rPr>
          <w:color w:val="000000"/>
        </w:rPr>
        <w:t xml:space="preserve"> изменени</w:t>
      </w:r>
      <w:r>
        <w:rPr>
          <w:color w:val="000000"/>
        </w:rPr>
        <w:t>я</w:t>
      </w:r>
      <w:r>
        <w:rPr>
          <w:color w:val="000000"/>
        </w:rPr>
        <w:t xml:space="preserve"> в постановление Совета Министров - Правительства Рос</w:t>
      </w:r>
      <w:r>
        <w:rPr/>
        <w:t xml:space="preserve">сийской Федерации от 22 сентября 1993 г. </w:t>
      </w:r>
      <w:r>
        <w:rPr/>
        <w:t>№</w:t>
      </w:r>
      <w:r>
        <w:rPr/>
        <w:t xml:space="preserve"> 941. </w:t>
      </w:r>
      <w:r>
        <w:rPr/>
        <w:t xml:space="preserve">Из их содержания следует, что с 25.02.2026 </w:t>
      </w:r>
      <w:r>
        <w:rPr>
          <w:b w:val="false"/>
        </w:rPr>
        <w:t xml:space="preserve">в выслугу лет для назначения пенсий будут включаться, в частности: </w:t>
      </w:r>
    </w:p>
    <w:p>
      <w:pPr>
        <w:pStyle w:val="BodyText"/>
        <w:spacing w:lineRule="auto" w:line="240" w:before="0" w:after="0"/>
        <w:ind w:hanging="0" w:left="0" w:right="0"/>
        <w:contextualSpacing/>
        <w:jc w:val="both"/>
        <w:rPr>
          <w:b w:val="false"/>
        </w:rPr>
      </w:pPr>
      <w:r>
        <w:rPr>
          <w:b w:val="false"/>
        </w:rPr>
        <w:t xml:space="preserve">из расчета один день службы за три дня - время непосредственного участия в боевых действиях на территориях Белгородской, Брянской и Курской областей в период проведения СВО в составе соединений, воинских частей, органов управления, территориальных органов согласно перечням, определяемым соответственно Минобороны России и Росгвардии, - с 29 декабря 2025 года; </w:t>
      </w:r>
    </w:p>
    <w:p>
      <w:pPr>
        <w:pStyle w:val="BodyText"/>
        <w:spacing w:lineRule="auto" w:line="240" w:before="0" w:after="0"/>
        <w:ind w:hanging="0" w:left="0" w:right="0"/>
        <w:contextualSpacing/>
        <w:jc w:val="both"/>
        <w:rPr>
          <w:b w:val="false"/>
        </w:rPr>
      </w:pPr>
      <w:r>
        <w:rPr>
          <w:b w:val="false"/>
        </w:rPr>
        <w:t xml:space="preserve">из расчета один день службы за два дня - время выполнения задач контртеррористических операций на территориях Белгородской, Брянской и Курской областей - с 29 декабря 2025 г.; время военной службы (службы) военнослужащих спасательных воинских формирований МЧС и сотрудников ГПС РФ на должностях, связанных с поиском, обезвреживанием и (или) уничтожением взрывоопасных предметов на территориях Белгородской, Брянской и Курской областей в период проведения СВО, - с 29 декабря 2025 г. </w:t>
      </w:r>
    </w:p>
    <w:p>
      <w:pPr>
        <w:pStyle w:val="BodyText"/>
        <w:spacing w:lineRule="auto" w:line="240" w:before="0" w:after="0"/>
        <w:ind w:hanging="0" w:left="0" w:right="0"/>
        <w:contextualSpacing/>
        <w:jc w:val="both"/>
        <w:rPr>
          <w:b w:val="false"/>
        </w:rPr>
      </w:pPr>
      <w:r>
        <w:rPr>
          <w:b/>
          <w:bCs/>
        </w:rPr>
        <w:t xml:space="preserve">3. </w:t>
      </w:r>
      <w:r>
        <w:rPr>
          <w:b/>
          <w:bCs/>
          <w:sz w:val="28"/>
          <w:szCs w:val="28"/>
        </w:rPr>
        <w:t>Прокуратура г. Бодайбо информирует о р</w:t>
      </w:r>
      <w:r>
        <w:rPr>
          <w:b/>
        </w:rPr>
        <w:t>асширен</w:t>
      </w:r>
      <w:r>
        <w:rPr>
          <w:b/>
        </w:rPr>
        <w:t>ии</w:t>
      </w:r>
      <w:r>
        <w:rPr>
          <w:b/>
        </w:rPr>
        <w:t xml:space="preserve"> перечн</w:t>
      </w:r>
      <w:r>
        <w:rPr>
          <w:b/>
        </w:rPr>
        <w:t>я</w:t>
      </w:r>
      <w:r>
        <w:rPr>
          <w:b/>
        </w:rPr>
        <w:t xml:space="preserve"> льгот по уплате госпошлины</w:t>
      </w:r>
    </w:p>
    <w:p>
      <w:pPr>
        <w:pStyle w:val="BodyText"/>
        <w:spacing w:lineRule="atLeast" w:line="165" w:before="0" w:after="0"/>
        <w:ind w:hanging="0" w:left="0" w:right="0"/>
        <w:jc w:val="both"/>
        <w:rPr/>
      </w:pPr>
      <w:r>
        <w:rPr/>
        <w:t xml:space="preserve">  </w:t>
      </w:r>
      <w:r>
        <w:rPr/>
        <w:tab/>
      </w:r>
      <w:r>
        <w:rPr>
          <w:b w:val="false"/>
        </w:rPr>
        <w:t>Федеральны</w:t>
      </w:r>
      <w:r>
        <w:rPr>
          <w:b w:val="false"/>
        </w:rPr>
        <w:t>м</w:t>
      </w:r>
      <w:r>
        <w:rPr>
          <w:b w:val="false"/>
        </w:rPr>
        <w:t xml:space="preserve"> </w:t>
      </w:r>
      <w:r>
        <w:rPr>
          <w:b w:val="false"/>
          <w:strike w:val="false"/>
          <w:dstrike w:val="false"/>
          <w:color w:val="0000FF"/>
          <w:u w:val="none"/>
          <w:effect w:val="none"/>
        </w:rPr>
        <w:t>закон</w:t>
      </w:r>
      <w:r>
        <w:rPr>
          <w:b w:val="false"/>
          <w:strike w:val="false"/>
          <w:dstrike w:val="false"/>
          <w:color w:val="0000FF"/>
          <w:u w:val="none"/>
          <w:effect w:val="none"/>
        </w:rPr>
        <w:t>ом</w:t>
      </w:r>
      <w:r>
        <w:rPr>
          <w:b w:val="false"/>
        </w:rPr>
        <w:t xml:space="preserve"> от 20.02.2026 </w:t>
      </w:r>
      <w:r>
        <w:rPr>
          <w:b w:val="false"/>
        </w:rPr>
        <w:t>№</w:t>
      </w:r>
      <w:r>
        <w:rPr>
          <w:b w:val="false"/>
        </w:rPr>
        <w:t xml:space="preserve"> 40-ФЗ  внесен</w:t>
      </w:r>
      <w:r>
        <w:rPr>
          <w:b w:val="false"/>
        </w:rPr>
        <w:t xml:space="preserve">ы </w:t>
      </w:r>
      <w:r>
        <w:rPr>
          <w:b w:val="false"/>
        </w:rPr>
        <w:t>изменени</w:t>
      </w:r>
      <w:r>
        <w:rPr>
          <w:b w:val="false"/>
        </w:rPr>
        <w:t>я</w:t>
      </w:r>
      <w:r>
        <w:rPr>
          <w:b w:val="false"/>
        </w:rPr>
        <w:t xml:space="preserve"> в статьи 333.35 и 333.36 части второй Налогового кодекса Российской Федерации.  </w:t>
        <w:tab/>
      </w:r>
      <w:r>
        <w:rPr>
          <w:b w:val="false"/>
        </w:rPr>
        <w:t xml:space="preserve">Согласно </w:t>
      </w:r>
      <w:r>
        <w:rPr>
          <w:b w:val="false"/>
        </w:rPr>
        <w:t xml:space="preserve">принятому закону государственная пошлина не уплачивается за выдачу взамен утраченных паспорта гражданина РФ или национального водительского удостоверения принимавшим участие в СВО волонтерам, осуществляющим свою деятельность в соответствии с Указом Президента РФ от 30.04.2022 </w:t>
      </w:r>
      <w:r>
        <w:rPr>
          <w:b w:val="false"/>
        </w:rPr>
        <w:t>№</w:t>
      </w:r>
      <w:r>
        <w:rPr>
          <w:b w:val="false"/>
        </w:rPr>
        <w:t xml:space="preserve"> 247 «О поддержке волонтерской деятельности на территориях отдельных субъектов Российской Федерации».</w:t>
      </w:r>
    </w:p>
    <w:p>
      <w:pPr>
        <w:pStyle w:val="BodyText"/>
        <w:spacing w:lineRule="atLeast" w:line="165" w:before="0" w:after="0"/>
        <w:ind w:hanging="0" w:left="0" w:right="0"/>
        <w:jc w:val="both"/>
        <w:rPr/>
      </w:pPr>
      <w:r>
        <w:rPr>
          <w:b w:val="false"/>
        </w:rPr>
        <w:tab/>
        <w:t xml:space="preserve">Также от уплаты государственной пошлины освобождены административные истцы, относящиеся к лицам, указанным в абзацах втором - двадцатом подпункта 24 пункта 1 статьи 333.36 НК РФ (в т.ч. ветераны боевых действий, участники СВО, члены их семей), при обращении в суд в порядке, установленном главой 22 КоАП РФ. </w:t>
      </w:r>
    </w:p>
    <w:p>
      <w:pPr>
        <w:pStyle w:val="BodyText"/>
        <w:spacing w:lineRule="atLeast" w:line="165" w:before="0" w:after="0"/>
        <w:ind w:hanging="0" w:left="0" w:right="0"/>
        <w:jc w:val="both"/>
        <w:rPr/>
      </w:pPr>
      <w:r>
        <w:rPr>
          <w:b/>
          <w:bCs/>
        </w:rPr>
        <w:t xml:space="preserve">4. Прокуратура г. Бодайбо информирует, что </w:t>
      </w:r>
      <w:r>
        <w:rPr>
          <w:b/>
          <w:bCs/>
        </w:rPr>
        <w:t>Верховным Судом РФ обобщена практика рассмотрения судами административных дел об оспаривании нормативны</w:t>
      </w:r>
      <w:r>
        <w:rPr>
          <w:b/>
        </w:rPr>
        <w:t>х правовых актов субъектов РФ, которыми установлены дополнительные меры социальной поддержки участникам СВО и членам их семей</w:t>
      </w:r>
    </w:p>
    <w:p>
      <w:pPr>
        <w:pStyle w:val="Style21"/>
        <w:pBdr/>
        <w:spacing w:lineRule="auto" w:line="240" w:before="0" w:after="0"/>
        <w:ind w:hanging="0" w:left="0" w:right="0"/>
        <w:contextualSpacing/>
        <w:jc w:val="both"/>
        <w:rPr/>
      </w:pPr>
      <w:r>
        <w:rPr>
          <w:b/>
        </w:rPr>
        <w:tab/>
      </w:r>
      <w:r>
        <w:rPr>
          <w:b w:val="false"/>
          <w:bCs w:val="false"/>
        </w:rPr>
        <w:t xml:space="preserve">В </w:t>
      </w:r>
      <w:r>
        <w:rPr>
          <w:b w:val="false"/>
          <w:bCs w:val="false"/>
          <w:color w:val="000000"/>
        </w:rPr>
        <w:t>Обзор</w:t>
      </w:r>
      <w:r>
        <w:rPr>
          <w:b w:val="false"/>
          <w:bCs w:val="false"/>
          <w:color w:val="000000"/>
        </w:rPr>
        <w:t>е</w:t>
      </w:r>
      <w:r>
        <w:rPr>
          <w:b w:val="false"/>
          <w:bCs w:val="false"/>
          <w:color w:val="000000"/>
        </w:rPr>
        <w:t xml:space="preserve"> практики рассмотрения судами административных дел об оспаривании нормативных правовых актов субъектов Российской Федерации, которыми установлены дополнительные меры социальной поддержки участникам специальной военной операции и членам их семей, </w:t>
      </w:r>
      <w:r>
        <w:rPr>
          <w:b w:val="false"/>
          <w:bCs w:val="false"/>
          <w:color w:val="000000"/>
        </w:rPr>
        <w:t>утвержденном п</w:t>
      </w:r>
      <w:r>
        <w:rPr>
          <w:b w:val="false"/>
          <w:bCs w:val="false"/>
          <w:color w:val="000000"/>
        </w:rPr>
        <w:t xml:space="preserve">остановлением Президиума Верховного Суда РФ от 11.02.2026 </w:t>
      </w:r>
      <w:r>
        <w:rPr>
          <w:b w:val="false"/>
          <w:bCs w:val="false"/>
          <w:color w:val="000000"/>
        </w:rPr>
        <w:t>№</w:t>
      </w:r>
      <w:r>
        <w:rPr>
          <w:b w:val="false"/>
          <w:bCs w:val="false"/>
          <w:color w:val="000000"/>
        </w:rPr>
        <w:t xml:space="preserve"> 2А/2026, </w:t>
      </w:r>
      <w:r>
        <w:rPr>
          <w:b w:val="false"/>
        </w:rPr>
        <w:t xml:space="preserve">отмечено, в частности, следующее: </w:t>
      </w:r>
    </w:p>
    <w:p>
      <w:pPr>
        <w:pStyle w:val="BodyText"/>
        <w:spacing w:lineRule="auto" w:line="240" w:before="0" w:after="0"/>
        <w:ind w:hanging="0" w:left="0" w:right="0"/>
        <w:contextualSpacing/>
        <w:jc w:val="both"/>
        <w:rPr>
          <w:b w:val="false"/>
        </w:rPr>
      </w:pPr>
      <w:r>
        <w:rPr>
          <w:b w:val="false"/>
        </w:rPr>
        <w:t xml:space="preserve">- право участника СВО на получение в субъекте РФ мер социальной поддержки не может быть поставлено в зависимость от даты его регистрации по месту жительства в этом субъекте; </w:t>
      </w:r>
    </w:p>
    <w:p>
      <w:pPr>
        <w:pStyle w:val="BodyText"/>
        <w:spacing w:lineRule="auto" w:line="240" w:before="0" w:after="0"/>
        <w:ind w:hanging="0" w:left="0" w:right="0"/>
        <w:contextualSpacing/>
        <w:jc w:val="both"/>
        <w:rPr>
          <w:b w:val="false"/>
        </w:rPr>
      </w:pPr>
      <w:r>
        <w:rPr>
          <w:b w:val="false"/>
        </w:rPr>
        <w:t xml:space="preserve">- отказ в предоставлении дополнительной меры социальной поддержки военнослужащему, принимавшему участие в СВО, исключительно на основе того, в какую воинскую часть Вооруженных Сил РФ, выполнявшую задачи в зоне СВО, он был зачислен, является неправомерным; </w:t>
      </w:r>
    </w:p>
    <w:p>
      <w:pPr>
        <w:pStyle w:val="BodyText"/>
        <w:spacing w:lineRule="auto" w:line="240" w:before="0" w:after="0"/>
        <w:ind w:hanging="0" w:left="0" w:right="0"/>
        <w:contextualSpacing/>
        <w:jc w:val="both"/>
        <w:rPr>
          <w:b w:val="false"/>
        </w:rPr>
      </w:pPr>
      <w:r>
        <w:rPr>
          <w:b w:val="false"/>
        </w:rPr>
        <w:t>- предусматривая во исполнение норм федерального законодательства дополнительные меры социальной поддержки участникам СВО, законодатель субъекта РФ не вправе сужать по сравнению с положениями федерального законодательства круг лиц, которым данная мера адресована.</w:t>
      </w:r>
    </w:p>
    <w:p>
      <w:pPr>
        <w:pStyle w:val="BodyText"/>
        <w:spacing w:lineRule="auto" w:line="240" w:before="0" w:after="0"/>
        <w:ind w:hanging="0" w:left="0" w:right="0"/>
        <w:contextualSpacing/>
        <w:jc w:val="both"/>
        <w:rPr>
          <w:b w:val="false"/>
        </w:rPr>
      </w:pPr>
      <w:r>
        <w:rPr>
          <w:b w:val="false"/>
        </w:rPr>
        <w:t>5.</w:t>
      </w:r>
      <w:r>
        <w:rPr>
          <w:b/>
        </w:rPr>
        <w:t xml:space="preserve"> Прокуратура г. Бодайбо разъясняет, что с 01 сентября </w:t>
      </w:r>
      <w:r>
        <w:rPr>
          <w:b/>
        </w:rPr>
        <w:t>2026 года вступает в силу новый Порядок проведения диспансерного наблюдения за лицами с психическими расстройствами и расстройствами поведения, связанными с употреблением психоактивных веществ</w:t>
      </w:r>
    </w:p>
    <w:p>
      <w:pPr>
        <w:pStyle w:val="BodyText"/>
        <w:spacing w:lineRule="auto" w:line="240" w:before="0" w:after="0"/>
        <w:ind w:hanging="0" w:left="0" w:right="0"/>
        <w:contextualSpacing/>
        <w:jc w:val="both"/>
        <w:rPr/>
      </w:pPr>
      <w:r>
        <w:rPr/>
        <w:t> </w:t>
      </w:r>
      <w:r>
        <w:rPr/>
        <w:tab/>
      </w:r>
      <w:r>
        <w:rPr>
          <w:color w:val="000000"/>
        </w:rPr>
        <w:t>П</w:t>
      </w:r>
      <w:r>
        <w:rPr>
          <w:strike w:val="false"/>
          <w:dstrike w:val="false"/>
          <w:color w:val="000000"/>
          <w:u w:val="none"/>
          <w:effect w:val="none"/>
        </w:rPr>
        <w:t>риказ</w:t>
      </w:r>
      <w:r>
        <w:rPr>
          <w:strike w:val="false"/>
          <w:dstrike w:val="false"/>
          <w:color w:val="000000"/>
          <w:u w:val="none"/>
          <w:effect w:val="none"/>
        </w:rPr>
        <w:t>ом</w:t>
      </w:r>
      <w:r>
        <w:rPr>
          <w:color w:val="000000"/>
        </w:rPr>
        <w:t xml:space="preserve"> Минздрава России от 12.01.2026 </w:t>
      </w:r>
      <w:r>
        <w:rPr>
          <w:color w:val="000000"/>
        </w:rPr>
        <w:t>№</w:t>
      </w:r>
      <w:r>
        <w:rPr>
          <w:color w:val="000000"/>
        </w:rPr>
        <w:t xml:space="preserve"> 10н утвержден Поряд</w:t>
      </w:r>
      <w:r>
        <w:rPr>
          <w:color w:val="000000"/>
        </w:rPr>
        <w:t>ок</w:t>
      </w:r>
      <w:r>
        <w:rPr>
          <w:color w:val="000000"/>
        </w:rPr>
        <w:t xml:space="preserve"> проведения диспансерного наблюдения за лицами с психическими расстройствами и расстройствами поведения, связанными с употреблением психоактивных веществ. </w:t>
      </w:r>
      <w:r>
        <w:rPr>
          <w:b w:val="false"/>
        </w:rPr>
        <w:t>Диспансерное наблюдение представляет собой проводимое с определенной периодичностью необходимое обследование лиц, страдающих хроническими психическими расстройствами и расстройствами поведения, связанными с употреблением психоактивных веществ, включенными в рубрики F10 - F16, F18 - F19 МКБ-10,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r>
        <w:rPr>
          <w:b w:val="false"/>
        </w:rPr>
        <w:t>Д</w:t>
      </w:r>
      <w:r>
        <w:rPr>
          <w:b w:val="false"/>
        </w:rPr>
        <w:t xml:space="preserve">испансерное наблюдение проводится в медицинских организациях, имеющих лицензию на осуществление медицинской деятельности, включающую работы (услуги) по психиатрии-наркологии, по месту жительства (месту пребывания) пациента. Диспансерное наблюдение проводится в амбулаторных условиях, в том числе на дому. </w:t>
      </w:r>
    </w:p>
    <w:p>
      <w:pPr>
        <w:pStyle w:val="BodyText"/>
        <w:spacing w:lineRule="auto" w:line="240" w:before="0" w:after="0"/>
        <w:ind w:hanging="0" w:left="0" w:right="0"/>
        <w:contextualSpacing/>
        <w:jc w:val="both"/>
        <w:rPr/>
      </w:pPr>
      <w:r>
        <w:rPr>
          <w:b w:val="false"/>
        </w:rPr>
        <w:t xml:space="preserve">6.  </w:t>
      </w:r>
      <w:r>
        <w:rPr>
          <w:b/>
          <w:bCs/>
        </w:rPr>
        <w:t>Прокуратура г. Бодайбо разъясняет, что с 1 марта 2026 г. устанавливаются требования к обеспечению для инвалидов по зрению доступности информации, содержащейся на официальных сайтах государственных органов, органов местного самоуправления и подведомственных им организаций в сети "Интернет"</w:t>
      </w:r>
    </w:p>
    <w:p>
      <w:pPr>
        <w:pStyle w:val="BodyText"/>
        <w:spacing w:lineRule="auto" w:line="240" w:before="0" w:after="0"/>
        <w:ind w:hanging="0" w:left="0" w:right="0"/>
        <w:contextualSpacing/>
        <w:jc w:val="both"/>
        <w:rPr/>
      </w:pPr>
      <w:r>
        <w:rPr>
          <w:b w:val="false"/>
        </w:rPr>
        <w:tab/>
      </w:r>
      <w:r>
        <w:rPr>
          <w:b w:val="false"/>
          <w:strike w:val="false"/>
          <w:dstrike w:val="false"/>
          <w:color w:val="000000"/>
          <w:u w:val="none"/>
          <w:effect w:val="none"/>
        </w:rPr>
        <w:t>Постановлением</w:t>
      </w:r>
      <w:r>
        <w:rPr>
          <w:b w:val="false"/>
          <w:color w:val="000000"/>
        </w:rPr>
        <w:t xml:space="preserve"> Правительства РФ от 07.02.2026 № 102 утверждены требования к обеспечению для инвалидов по зрению доступности информации о деятельности государственных органов и органов местного самоупра</w:t>
      </w:r>
      <w:r>
        <w:rPr>
          <w:b w:val="false"/>
        </w:rPr>
        <w:t xml:space="preserve">вления, содержащейся на официальных сайтах государственных органов, органов местного самоуправления и подведомственных им организаций в информационно-телекоммуникационной сети "Интернет". </w:t>
      </w:r>
      <w:r>
        <w:rPr>
          <w:b w:val="false"/>
        </w:rPr>
        <w:t xml:space="preserve">Указанные официальные сайты должны соответствовать, в частности, следующим параметрам: </w:t>
      </w:r>
    </w:p>
    <w:p>
      <w:pPr>
        <w:pStyle w:val="BodyText"/>
        <w:spacing w:lineRule="auto" w:line="240" w:before="0" w:after="0"/>
        <w:ind w:hanging="0" w:left="0" w:right="0"/>
        <w:contextualSpacing/>
        <w:jc w:val="both"/>
        <w:rPr>
          <w:b w:val="false"/>
        </w:rPr>
      </w:pPr>
      <w:r>
        <w:rPr>
          <w:b w:val="false"/>
        </w:rPr>
        <w:t xml:space="preserve">текстовая информация масштабируется не менее чем на 200 процентов исходного масштаба интернет-страницы без применения вспомогательных технологий, потери функциональности и появления горизонтальной полосы прокрутки; документы, представленные на официальных сайтах, доступны для чтения при помощи вспомогательных технологий, включая программы экранного доступа, и размечены в соответствии с положениями ГОСТ Р 70176-2022 "Интернет-ресурсы и другая информация, представленная в электронно-цифровой форме. Файлы формата PDF. Требования доступности для людей с инвалидностью и других лиц с ограничениями жизнедеятельности" (утвержден приказом Росстандарта от 22 июня 2022 г. N 515-ст и введен в действие 1 декабря 2022 г.) или на официальных сайтах представлены альтернативные версии таких документов, доступные для чтения при помощи вспомогательных технологий, включая программы экранного доступа; заголовки страниц официальных сайтов описывают их тему или цель;  если на официальных сайтах размещается движущаяся, мигающая или автоматически обновляющаяся информация, пользователю должны быть доступны средства управления - возможность приостановить, остановить, скрыть или изменить частоту ее обновления. Контент не должен содержать мигающих элементов, которые могут вызвать дискомфорт (например, более 3 вспышек в секунду). Анимация загрузки допускается, если она необходима для того, чтобы пользователь понимал, что процесс продолжается; текстовая информация должна представляться с использованием читаемого шрифта без декоративных элементов, обеспечивающего достаточную контрастность и различимость символов. </w:t>
      </w:r>
    </w:p>
    <w:p>
      <w:pPr>
        <w:pStyle w:val="BodyText"/>
        <w:spacing w:lineRule="auto" w:line="240" w:before="0" w:after="0"/>
        <w:ind w:hanging="0" w:left="0" w:right="0"/>
        <w:contextualSpacing/>
        <w:jc w:val="both"/>
        <w:rPr>
          <w:b w:val="false"/>
        </w:rPr>
      </w:pPr>
      <w:r>
        <w:rPr>
          <w:b w:val="false"/>
        </w:rPr>
        <w:t>7. Прокуратура г. Бодайбо разъясняет, что с 01.01.2026 Кодекс Российской Федерации об административных правонарушениях дополнен с</w:t>
      </w:r>
      <w:r>
        <w:rPr>
          <w:b w:val="false"/>
        </w:rPr>
        <w:t>тать</w:t>
      </w:r>
      <w:r>
        <w:rPr>
          <w:b w:val="false"/>
        </w:rPr>
        <w:t>ёй</w:t>
      </w:r>
      <w:r>
        <w:rPr>
          <w:b w:val="false"/>
        </w:rPr>
        <w:t xml:space="preserve"> 15.37.1, </w:t>
      </w:r>
      <w:r>
        <w:rPr>
          <w:b w:val="false"/>
        </w:rPr>
        <w:t>предусматривающей административную ответственность за н</w:t>
      </w:r>
      <w:r>
        <w:rPr>
          <w:b w:val="false"/>
        </w:rPr>
        <w:t>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pPr>
        <w:pStyle w:val="BodyText"/>
        <w:spacing w:lineRule="auto" w:line="240" w:before="0" w:after="0"/>
        <w:ind w:hanging="0" w:left="0" w:right="0"/>
        <w:contextualSpacing/>
        <w:jc w:val="both"/>
        <w:rPr>
          <w:b w:val="false"/>
        </w:rPr>
      </w:pPr>
      <w:r>
        <w:rPr>
          <w:b w:val="false"/>
        </w:rPr>
        <w:tab/>
      </w:r>
      <w:r>
        <w:rPr>
          <w:b w:val="false"/>
        </w:rPr>
        <w:t xml:space="preserve">Санкцией данной статьи предусмотрено </w:t>
      </w:r>
      <w:r>
        <w:rPr>
          <w:b w:val="false"/>
        </w:rPr>
        <w:t xml:space="preserve">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 </w:t>
      </w:r>
    </w:p>
    <w:p>
      <w:pPr>
        <w:pStyle w:val="BodyText"/>
        <w:spacing w:lineRule="auto" w:line="240" w:before="0" w:after="0"/>
        <w:ind w:hanging="0" w:left="0" w:right="0"/>
        <w:contextualSpacing/>
        <w:jc w:val="both"/>
        <w:rPr>
          <w:b w:val="false"/>
        </w:rPr>
      </w:pPr>
      <w:r>
        <w:rPr>
          <w:b w:val="false"/>
        </w:rPr>
        <w:t xml:space="preserve">8. </w:t>
      </w:r>
      <w:r>
        <w:rPr>
          <w:b/>
          <w:bCs/>
        </w:rPr>
        <w:t xml:space="preserve">Прокуратура г. Бодайбо разъясняет, что с 29.12.2025 </w:t>
      </w:r>
      <w:r>
        <w:rPr>
          <w:b/>
          <w:bCs/>
        </w:rPr>
        <w:t>установлена ответственность за просрочку оплаты по договорам в сфере закупок товаров и услуг, заключенным с поставщиками вне зависимости от их принадлежности к субъектам МСП.</w:t>
      </w:r>
    </w:p>
    <w:p>
      <w:pPr>
        <w:pStyle w:val="BodyText"/>
        <w:spacing w:lineRule="auto" w:line="240" w:before="0" w:after="0"/>
        <w:ind w:hanging="0" w:left="0" w:right="0"/>
        <w:contextualSpacing/>
        <w:jc w:val="both"/>
        <w:rPr>
          <w:b w:val="false"/>
        </w:rPr>
      </w:pPr>
      <w:r>
        <w:rPr>
          <w:b w:val="false"/>
        </w:rPr>
        <w:tab/>
        <w:t xml:space="preserve">В ранее действовавшей редакции часть 7 статьи 7.30.4 Кодекса Российской Федерации об административных правонарушениях </w:t>
      </w:r>
      <w:r>
        <w:rPr>
          <w:b w:val="false"/>
        </w:rPr>
        <w:t>п</w:t>
      </w:r>
      <w:r>
        <w:rPr>
          <w:b w:val="false"/>
        </w:rPr>
        <w:t xml:space="preserve">редусматривала административную ответственность за 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w:t>
      </w:r>
      <w:r>
        <w:rPr>
          <w:b/>
          <w:bCs/>
        </w:rPr>
        <w:t>с субъектом малого или среднего предпринимательства.</w:t>
      </w:r>
    </w:p>
    <w:p>
      <w:pPr>
        <w:pStyle w:val="BodyText"/>
        <w:spacing w:lineRule="auto" w:line="240" w:before="0" w:after="0"/>
        <w:ind w:hanging="0" w:left="0" w:right="0"/>
        <w:contextualSpacing/>
        <w:jc w:val="both"/>
        <w:rPr>
          <w:b w:val="false"/>
        </w:rPr>
      </w:pPr>
      <w:r>
        <w:rPr>
          <w:b/>
          <w:bCs/>
        </w:rPr>
        <w:t>9. Прокуратура г. Бодайбо разъясняет, что за н</w:t>
      </w:r>
      <w:r>
        <w:rPr>
          <w:b/>
          <w:bCs/>
        </w:rPr>
        <w:t xml:space="preserve">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r>
        <w:rPr>
          <w:b/>
          <w:bCs/>
        </w:rPr>
        <w:t>предусмотрена административная ответственность</w:t>
      </w:r>
    </w:p>
    <w:p>
      <w:pPr>
        <w:pStyle w:val="BodyText"/>
        <w:spacing w:lineRule="auto" w:line="240" w:before="0" w:after="0"/>
        <w:ind w:hanging="0" w:left="0" w:right="0"/>
        <w:contextualSpacing/>
        <w:jc w:val="both"/>
        <w:rPr>
          <w:b w:val="false"/>
        </w:rPr>
      </w:pPr>
      <w:r>
        <w:rPr>
          <w:b/>
          <w:bCs/>
        </w:rPr>
        <w:tab/>
      </w:r>
      <w:r>
        <w:rPr>
          <w:b w:val="false"/>
          <w:bCs w:val="false"/>
        </w:rPr>
        <w:t xml:space="preserve">В соответствии с санкцией статьи 6.7 </w:t>
      </w:r>
      <w:r>
        <w:rPr>
          <w:b w:val="false"/>
          <w:bCs w:val="false"/>
        </w:rPr>
        <w:t xml:space="preserve">Кодекса Российской Федерации об административных правонарушениях </w:t>
      </w:r>
      <w:r>
        <w:rPr>
          <w:b w:val="false"/>
          <w:bCs w:val="false"/>
        </w:rPr>
        <w:t xml:space="preserve">совершение указанный действий (бездействия) </w:t>
      </w:r>
      <w:r>
        <w:rPr>
          <w:b w:val="false"/>
        </w:rPr>
        <w:t xml:space="preserve">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 </w:t>
      </w:r>
    </w:p>
    <w:p>
      <w:pPr>
        <w:pStyle w:val="BodyText"/>
        <w:spacing w:lineRule="auto" w:line="240" w:before="0" w:after="0"/>
        <w:ind w:hanging="0" w:left="0" w:right="0"/>
        <w:contextualSpacing/>
        <w:jc w:val="both"/>
        <w:rPr>
          <w:b/>
          <w:bCs/>
        </w:rPr>
      </w:pPr>
      <w:r>
        <w:rPr>
          <w:b/>
          <w:bCs/>
        </w:rPr>
        <w:t>10. Прокуратура г. Бодайбо предупреждает об ответственности за н</w:t>
      </w:r>
      <w:r>
        <w:rPr>
          <w:b/>
          <w:bCs/>
        </w:rPr>
        <w:t xml:space="preserve">езаконные приобретение, хранение, перевозка, изготовление, переработка без цели сбыта наркотических средств, психотропных веществ или их </w:t>
      </w:r>
      <w:r>
        <w:rPr>
          <w:b/>
          <w:bCs/>
          <w:strike w:val="false"/>
          <w:dstrike w:val="false"/>
          <w:color w:val="000000"/>
          <w:u w:val="none"/>
          <w:effect w:val="none"/>
        </w:rPr>
        <w:t>аналогов</w:t>
      </w:r>
      <w:r>
        <w:rPr>
          <w:b/>
          <w:bCs/>
          <w:color w:val="000000"/>
        </w:rPr>
        <w:t xml:space="preserve">, а также незаконные приобретение, хранение, перевозка без цели сбыта </w:t>
      </w:r>
      <w:r>
        <w:rPr>
          <w:b/>
          <w:bCs/>
          <w:strike w:val="false"/>
          <w:dstrike w:val="false"/>
          <w:color w:val="000000"/>
          <w:u w:val="none"/>
          <w:effect w:val="none"/>
        </w:rPr>
        <w:t>растений</w:t>
      </w:r>
      <w:r>
        <w:rPr>
          <w:b/>
          <w:bCs/>
          <w:color w:val="000000"/>
        </w:rPr>
        <w:t>,</w:t>
      </w:r>
      <w:r>
        <w:rPr>
          <w:b/>
          <w:bCs/>
        </w:rPr>
        <w:t xml:space="preserve">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spacing w:lineRule="auto" w:line="240" w:before="0" w:after="0"/>
        <w:ind w:hanging="0" w:left="0" w:right="0"/>
        <w:contextualSpacing/>
        <w:jc w:val="both"/>
        <w:rPr>
          <w:b w:val="false"/>
        </w:rPr>
      </w:pPr>
      <w:r>
        <w:rPr>
          <w:b w:val="false"/>
          <w:bCs/>
        </w:rPr>
        <w:tab/>
      </w:r>
      <w:r>
        <w:rPr>
          <w:b w:val="false"/>
          <w:bCs/>
        </w:rPr>
        <w:t xml:space="preserve">Согласно ст. 6.8 </w:t>
      </w:r>
      <w:r>
        <w:rPr>
          <w:b w:val="false"/>
          <w:bCs w:val="false"/>
        </w:rPr>
        <w:t xml:space="preserve">Кодекса Российской Федерации об административных правонарушениях </w:t>
      </w:r>
      <w:r>
        <w:rPr>
          <w:b w:val="false"/>
          <w:bCs w:val="false"/>
        </w:rPr>
        <w:t xml:space="preserve">указанные действия </w:t>
      </w:r>
      <w:r>
        <w:rPr>
          <w:b w:val="false"/>
          <w:bCs/>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 </w:t>
      </w:r>
    </w:p>
    <w:p>
      <w:pPr>
        <w:pStyle w:val="BodyText"/>
        <w:spacing w:lineRule="auto" w:line="240" w:before="0" w:after="0"/>
        <w:ind w:hanging="0" w:left="0" w:right="0"/>
        <w:contextualSpacing/>
        <w:jc w:val="both"/>
        <w:rPr>
          <w:b w:val="false"/>
        </w:rPr>
      </w:pPr>
      <w:r>
        <w:rPr>
          <w:b/>
          <w:bCs/>
        </w:rPr>
        <w:tab/>
        <w:t>Те же действия, совершенные иностранным гражданином или лицом без гражданства</w:t>
      </w:r>
      <w:r>
        <w:rPr>
          <w:b w:val="false"/>
        </w:rPr>
        <w:t xml:space="preserve">, 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w:t>
      </w:r>
      <w:r>
        <w:rPr>
          <w:b/>
          <w:bCs/>
        </w:rPr>
        <w:t xml:space="preserve">с административным выдворением за пределы Российской Федерации. </w:t>
      </w:r>
    </w:p>
    <w:p>
      <w:pPr>
        <w:pStyle w:val="BodyText"/>
        <w:spacing w:lineRule="auto" w:line="240" w:before="0" w:after="0"/>
        <w:ind w:hanging="0" w:left="0" w:right="0"/>
        <w:contextualSpacing/>
        <w:jc w:val="both"/>
        <w:rPr>
          <w:b w:val="false"/>
        </w:rPr>
      </w:pPr>
      <w:r>
        <w:rPr>
          <w:b/>
          <w:bCs/>
        </w:rPr>
        <w:tab/>
      </w:r>
      <w:r>
        <w:rPr>
          <w:b w:val="false"/>
          <w:bCs w:val="false"/>
        </w:rPr>
        <w:t>При этом л</w:t>
      </w:r>
      <w:r>
        <w:rPr>
          <w:b w:val="false"/>
          <w:bCs w:val="false"/>
        </w:rPr>
        <w:t>иц</w:t>
      </w:r>
      <w:r>
        <w:rPr>
          <w:b w:val="false"/>
        </w:rPr>
        <w:t xml:space="preserve">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 </w:t>
      </w:r>
    </w:p>
    <w:p>
      <w:pPr>
        <w:pStyle w:val="BodyText"/>
        <w:spacing w:lineRule="auto" w:line="240" w:before="0" w:after="0"/>
        <w:ind w:hanging="0" w:left="0" w:right="0"/>
        <w:contextualSpacing/>
        <w:jc w:val="both"/>
        <w:rPr>
          <w:b w:val="false"/>
          <w:bCs/>
        </w:rPr>
      </w:pPr>
      <w:r>
        <w:rPr>
          <w:b w:val="false"/>
          <w:bCs/>
        </w:rPr>
        <w:tab/>
      </w:r>
      <w:r>
        <w:rPr>
          <w:b w:val="false"/>
          <w:bCs/>
        </w:rPr>
        <w:t xml:space="preserve">Также важным </w:t>
      </w:r>
      <w:r>
        <w:rPr>
          <w:b w:val="false"/>
          <w:bCs/>
        </w:rPr>
        <w:t>фактором для разграничения ответственности административной от уголовной за совершение указанных противоправных действий является размер наркотических средств и психотропных веществ.</w:t>
      </w:r>
    </w:p>
    <w:p>
      <w:pPr>
        <w:pStyle w:val="BodyText"/>
        <w:spacing w:lineRule="auto" w:line="240" w:before="0" w:after="0"/>
        <w:ind w:hanging="0" w:left="0" w:right="0"/>
        <w:contextualSpacing/>
        <w:jc w:val="both"/>
        <w:rPr>
          <w:b w:val="false"/>
        </w:rPr>
      </w:pPr>
      <w:r>
        <w:rPr>
          <w:b w:val="false"/>
          <w:bCs/>
        </w:rPr>
        <w:tab/>
        <w:t xml:space="preserve"> </w:t>
      </w:r>
      <w:r>
        <w:rPr>
          <w:b w:val="false"/>
        </w:rPr>
        <w:t>Постановление</w:t>
      </w:r>
      <w:r>
        <w:rPr>
          <w:b w:val="false"/>
        </w:rPr>
        <w:t>м</w:t>
      </w:r>
      <w:r>
        <w:rPr>
          <w:b w:val="false"/>
        </w:rPr>
        <w:t xml:space="preserve"> Правительства РФ от 01.10.2012 </w:t>
      </w:r>
      <w:r>
        <w:rPr>
          <w:b w:val="false"/>
        </w:rPr>
        <w:t>№</w:t>
      </w:r>
      <w:r>
        <w:rPr>
          <w:b w:val="false"/>
        </w:rPr>
        <w:t xml:space="preserve"> 1002 утвержден</w:t>
      </w:r>
      <w:r>
        <w:rPr>
          <w:b w:val="false"/>
        </w:rPr>
        <w:t>ы</w:t>
      </w:r>
      <w:r>
        <w:rPr>
          <w:b w:val="false"/>
        </w:rPr>
        <w:t xml:space="preserve"> значительн</w:t>
      </w:r>
      <w:r>
        <w:rPr>
          <w:b w:val="false"/>
        </w:rPr>
        <w:t>ый</w:t>
      </w:r>
      <w:r>
        <w:rPr>
          <w:b w:val="false"/>
        </w:rPr>
        <w:t>, крупн</w:t>
      </w:r>
      <w:r>
        <w:rPr>
          <w:b w:val="false"/>
        </w:rPr>
        <w:t>ый</w:t>
      </w:r>
      <w:r>
        <w:rPr>
          <w:b w:val="false"/>
        </w:rPr>
        <w:t xml:space="preserve"> и особо крупн</w:t>
      </w:r>
      <w:r>
        <w:rPr>
          <w:b w:val="false"/>
        </w:rPr>
        <w:t>ый</w:t>
      </w:r>
      <w:r>
        <w:rPr>
          <w:b w:val="false"/>
        </w:rPr>
        <w:t xml:space="preserve"> размер</w:t>
      </w:r>
      <w:r>
        <w:rPr>
          <w:b w:val="false"/>
        </w:rPr>
        <w:t>ы</w:t>
      </w:r>
      <w:r>
        <w:rPr>
          <w:b w:val="false"/>
        </w:rPr>
        <w:t xml:space="preserve"> наркотических средств и психотропных веществ, а также значительн</w:t>
      </w:r>
      <w:r>
        <w:rPr>
          <w:b w:val="false"/>
        </w:rPr>
        <w:t>ый</w:t>
      </w:r>
      <w:r>
        <w:rPr>
          <w:b w:val="false"/>
        </w:rPr>
        <w:t>, крупн</w:t>
      </w:r>
      <w:r>
        <w:rPr>
          <w:b w:val="false"/>
        </w:rPr>
        <w:t>ый</w:t>
      </w:r>
      <w:r>
        <w:rPr>
          <w:b w:val="false"/>
        </w:rPr>
        <w:t xml:space="preserve"> и особо крупн</w:t>
      </w:r>
      <w:r>
        <w:rPr>
          <w:b w:val="false"/>
        </w:rPr>
        <w:t>ый</w:t>
      </w:r>
      <w:r>
        <w:rPr>
          <w:b w:val="false"/>
        </w:rPr>
        <w:t xml:space="preserve"> размер</w:t>
      </w:r>
      <w:r>
        <w:rPr>
          <w:b w:val="false"/>
        </w:rPr>
        <w:t>ы</w:t>
      </w:r>
      <w:r>
        <w:rPr>
          <w:b w:val="false"/>
        </w:rPr>
        <w:t xml:space="preserve">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228, 228.1, 229 и 229.1 Уголовного кодекса Российской Федерации. </w:t>
      </w:r>
    </w:p>
    <w:p>
      <w:pPr>
        <w:pStyle w:val="BodyText"/>
        <w:spacing w:lineRule="auto" w:line="240" w:before="0" w:after="0"/>
        <w:ind w:hanging="0" w:left="0" w:right="0"/>
        <w:contextualSpacing/>
        <w:jc w:val="both"/>
        <w:rPr/>
      </w:pPr>
      <w:r>
        <w:rPr>
          <w:b w:val="false"/>
          <w:bCs/>
        </w:rPr>
        <w:tab/>
      </w:r>
      <w:r>
        <w:rPr>
          <w:sz w:val="28"/>
          <w:szCs w:val="28"/>
        </w:rPr>
        <w:t xml:space="preserve">О результатах опубликования указанных статей на официальных сайтах администрации прошу информировать прокуратуру города в срок до </w:t>
      </w:r>
      <w:r>
        <w:rPr>
          <w:b/>
          <w:bCs/>
          <w:sz w:val="28"/>
          <w:szCs w:val="28"/>
        </w:rPr>
        <w:t>28</w:t>
      </w:r>
      <w:r>
        <w:rPr>
          <w:b/>
          <w:bCs/>
          <w:sz w:val="28"/>
          <w:szCs w:val="28"/>
        </w:rPr>
        <w:t>.02.2026</w:t>
      </w:r>
      <w:r>
        <w:rPr>
          <w:sz w:val="28"/>
          <w:szCs w:val="28"/>
        </w:rPr>
        <w:t>.</w:t>
      </w:r>
    </w:p>
    <w:p>
      <w:pPr>
        <w:pStyle w:val="Normal"/>
        <w:ind w:firstLine="709"/>
        <w:jc w:val="both"/>
        <w:rPr>
          <w:rFonts w:ascii="Times New Roman" w:hAnsi="Times New Roman"/>
          <w:sz w:val="28"/>
          <w:szCs w:val="28"/>
        </w:rPr>
      </w:pPr>
      <w:r>
        <w:rPr>
          <w:sz w:val="28"/>
          <w:szCs w:val="28"/>
        </w:rPr>
      </w:r>
    </w:p>
    <w:p>
      <w:pPr>
        <w:pStyle w:val="Normal"/>
        <w:ind w:hanging="0"/>
        <w:jc w:val="both"/>
        <w:rPr>
          <w:rFonts w:ascii="Times New Roman" w:hAnsi="Times New Roman"/>
          <w:sz w:val="28"/>
          <w:szCs w:val="28"/>
        </w:rPr>
      </w:pPr>
      <w:r>
        <w:rPr>
          <w:sz w:val="28"/>
          <w:szCs w:val="28"/>
        </w:rPr>
      </w:r>
    </w:p>
    <w:p>
      <w:pPr>
        <w:pStyle w:val="Normal"/>
        <w:ind w:firstLine="709"/>
        <w:rPr>
          <w:rFonts w:ascii="Times New Roman" w:hAnsi="Times New Roman"/>
          <w:sz w:val="28"/>
          <w:szCs w:val="28"/>
        </w:rPr>
      </w:pPr>
      <w:r>
        <w:rPr>
          <w:sz w:val="28"/>
          <w:szCs w:val="28"/>
        </w:rPr>
      </w:r>
    </w:p>
    <w:tbl>
      <w:tblPr>
        <w:tblStyle w:val="a5"/>
        <w:tblW w:w="9808" w:type="dxa"/>
        <w:jc w:val="left"/>
        <w:tblInd w:w="0" w:type="dxa"/>
        <w:tblLayout w:type="fixed"/>
        <w:tblCellMar>
          <w:top w:w="0" w:type="dxa"/>
          <w:left w:w="0" w:type="dxa"/>
          <w:bottom w:w="0" w:type="dxa"/>
          <w:right w:w="0" w:type="dxa"/>
        </w:tblCellMar>
        <w:tblLook w:val="04a0" w:noHBand="0" w:noVBand="1" w:firstColumn="1" w:lastRow="0" w:lastColumn="0" w:firstRow="1"/>
      </w:tblPr>
      <w:tblGrid>
        <w:gridCol w:w="4486"/>
        <w:gridCol w:w="5321"/>
      </w:tblGrid>
      <w:tr>
        <w:trPr>
          <w:cantSplit w:val="true"/>
        </w:trPr>
        <w:tc>
          <w:tcPr>
            <w:tcW w:w="4486" w:type="dxa"/>
            <w:tcBorders>
              <w:top w:val="nil"/>
              <w:left w:val="nil"/>
              <w:bottom w:val="nil"/>
              <w:right w:val="nil"/>
            </w:tcBorders>
            <w:vAlign w:val="bottom"/>
          </w:tcPr>
          <w:p>
            <w:pPr>
              <w:pStyle w:val="Normal"/>
              <w:widowControl/>
              <w:suppressAutoHyphens w:val="true"/>
              <w:spacing w:lineRule="exact" w:line="240" w:before="0" w:after="0"/>
              <w:jc w:val="left"/>
              <w:rPr>
                <w:rFonts w:ascii="Times New Roman" w:hAnsi="Times New Roman" w:eastAsia="Calibri" w:cs=""/>
                <w:kern w:val="0"/>
                <w:sz w:val="28"/>
                <w:szCs w:val="28"/>
                <w:lang w:val="ru-RU" w:eastAsia="en-US" w:bidi="ar-SA"/>
              </w:rPr>
            </w:pPr>
            <w:bookmarkStart w:id="2" w:name="SIGNERPOST1"/>
            <w:r>
              <w:rPr>
                <w:rFonts w:eastAsia="Calibri" w:cs="Times New Roman"/>
                <w:kern w:val="0"/>
                <w:sz w:val="28"/>
                <w:szCs w:val="28"/>
                <w:lang w:val="ru-RU" w:eastAsia="en-US" w:bidi="ar-SA"/>
              </w:rPr>
              <w:fldChar w:fldCharType="begin"/>
            </w:r>
            <w:r>
              <w:rPr>
                <w:sz w:val="28"/>
                <w:kern w:val="0"/>
                <w:szCs w:val="28"/>
                <w:rFonts w:eastAsia="Calibri" w:cs="Times New Roman"/>
                <w:lang w:val="ru-RU" w:eastAsia="en-US" w:bidi="ar-SA"/>
              </w:rPr>
              <w:instrText xml:space="preserve"> MACROBUTTON должность подписанта</w:instrText>
            </w:r>
            <w:r>
              <w:rPr>
                <w:sz w:val="28"/>
                <w:kern w:val="0"/>
                <w:szCs w:val="28"/>
                <w:rFonts w:eastAsia="Calibri" w:cs="Times New Roman"/>
                <w:lang w:val="ru-RU" w:eastAsia="en-US" w:bidi="ar-SA"/>
              </w:rPr>
              <w:fldChar w:fldCharType="separate"/>
            </w:r>
            <w:r>
              <w:rPr>
                <w:sz w:val="28"/>
                <w:kern w:val="0"/>
                <w:szCs w:val="28"/>
                <w:rFonts w:eastAsia="Calibri" w:cs="Times New Roman"/>
                <w:lang w:val="ru-RU" w:eastAsia="en-US" w:bidi="ar-SA"/>
              </w:rPr>
              <w:t>подписанта</w:t>
            </w:r>
            <w:r>
              <w:rPr>
                <w:sz w:val="28"/>
                <w:kern w:val="0"/>
                <w:szCs w:val="28"/>
                <w:rFonts w:eastAsia="Calibri" w:cs="Times New Roman"/>
                <w:lang w:val="ru-RU" w:eastAsia="en-US" w:bidi="ar-SA"/>
              </w:rPr>
              <w:fldChar w:fldCharType="end"/>
            </w:r>
            <w:bookmarkEnd w:id="2"/>
          </w:p>
        </w:tc>
        <w:tc>
          <w:tcPr>
            <w:tcW w:w="5321" w:type="dxa"/>
            <w:tcBorders>
              <w:top w:val="nil"/>
              <w:left w:val="nil"/>
              <w:bottom w:val="nil"/>
              <w:right w:val="nil"/>
            </w:tcBorders>
            <w:tcMar>
              <w:left w:w="108" w:type="dxa"/>
              <w:right w:w="108" w:type="dxa"/>
            </w:tcMar>
            <w:vAlign w:val="bottom"/>
          </w:tcPr>
          <w:p>
            <w:pPr>
              <w:pStyle w:val="Normal"/>
              <w:widowControl/>
              <w:suppressAutoHyphens w:val="true"/>
              <w:spacing w:lineRule="exact" w:line="240" w:before="0" w:after="0"/>
              <w:jc w:val="righ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r>
        <w:trPr>
          <w:cantSplit w:val="true"/>
        </w:trPr>
        <w:tc>
          <w:tcPr>
            <w:tcW w:w="4486" w:type="dxa"/>
            <w:tcBorders>
              <w:top w:val="nil"/>
              <w:left w:val="nil"/>
              <w:bottom w:val="nil"/>
              <w:right w:val="nil"/>
            </w:tcBorders>
            <w:vAlign w:val="bottom"/>
          </w:tcPr>
          <w:p>
            <w:pPr>
              <w:pStyle w:val="Normal"/>
              <w:widowControl/>
              <w:suppressAutoHyphens w:val="true"/>
              <w:spacing w:before="0" w:after="0"/>
              <w:jc w:val="lef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c>
          <w:tcPr>
            <w:tcW w:w="5321" w:type="dxa"/>
            <w:tcBorders>
              <w:top w:val="nil"/>
              <w:left w:val="nil"/>
              <w:bottom w:val="nil"/>
              <w:right w:val="nil"/>
            </w:tcBorders>
            <w:tcMar>
              <w:left w:w="108" w:type="dxa"/>
              <w:right w:w="108" w:type="dxa"/>
            </w:tcMar>
            <w:vAlign w:val="bottom"/>
          </w:tcPr>
          <w:p>
            <w:pPr>
              <w:pStyle w:val="Normal"/>
              <w:widowControl/>
              <w:suppressAutoHyphens w:val="true"/>
              <w:spacing w:before="0" w:after="0"/>
              <w:jc w:val="right"/>
              <w:rPr>
                <w:rFonts w:ascii="Times New Roman" w:hAnsi="Times New Roman" w:eastAsia="Calibri" w:cs="Times New Roman"/>
                <w:kern w:val="0"/>
                <w:sz w:val="28"/>
                <w:szCs w:val="28"/>
                <w:lang w:val="ru-RU" w:eastAsia="en-US" w:bidi="ar-SA"/>
              </w:rPr>
            </w:pPr>
            <w:r>
              <w:rPr>
                <w:rFonts w:eastAsia="Calibri" w:cs="Times New Roman"/>
                <w:kern w:val="0"/>
                <w:sz w:val="28"/>
                <w:szCs w:val="28"/>
                <w:lang w:val="ru-RU" w:eastAsia="en-US" w:bidi="ar-SA"/>
              </w:rPr>
            </w:r>
          </w:p>
        </w:tc>
      </w:tr>
      <w:tr>
        <w:trPr>
          <w:cantSplit w:val="true"/>
        </w:trPr>
        <w:tc>
          <w:tcPr>
            <w:tcW w:w="4486" w:type="dxa"/>
            <w:tcBorders>
              <w:top w:val="nil"/>
              <w:left w:val="nil"/>
              <w:bottom w:val="nil"/>
              <w:right w:val="nil"/>
            </w:tcBorders>
            <w:vAlign w:val="bottom"/>
          </w:tcPr>
          <w:p>
            <w:pPr>
              <w:pStyle w:val="Normal"/>
              <w:widowControl/>
              <w:suppressAutoHyphens w:val="true"/>
              <w:spacing w:lineRule="exact" w:line="240" w:before="0" w:after="0"/>
              <w:jc w:val="left"/>
              <w:rPr>
                <w:rFonts w:ascii="Times New Roman" w:hAnsi="Times New Roman" w:eastAsia="Calibri" w:cs=""/>
                <w:kern w:val="0"/>
                <w:sz w:val="28"/>
                <w:szCs w:val="28"/>
                <w:lang w:val="ru-RU" w:eastAsia="en-US" w:bidi="ar-SA"/>
              </w:rPr>
            </w:pPr>
            <w:permStart w:id="1201347196" w:edGrp="everyone"/>
            <w:r>
              <w:rPr>
                <w:rFonts w:eastAsia="Calibri" w:cs="Times New Roman"/>
                <w:kern w:val="0"/>
                <w:sz w:val="28"/>
                <w:szCs w:val="28"/>
                <w:lang w:val="ru-RU" w:eastAsia="en-US" w:bidi="ar-SA"/>
              </w:rPr>
              <w:t>советник юстиции</w:t>
            </w:r>
            <w:permEnd w:id="1201347196"/>
          </w:p>
        </w:tc>
        <w:tc>
          <w:tcPr>
            <w:tcW w:w="5321" w:type="dxa"/>
            <w:tcBorders>
              <w:top w:val="nil"/>
              <w:left w:val="nil"/>
              <w:bottom w:val="nil"/>
              <w:right w:val="nil"/>
            </w:tcBorders>
            <w:tcMar>
              <w:left w:w="108" w:type="dxa"/>
              <w:right w:w="108" w:type="dxa"/>
            </w:tcMar>
            <w:vAlign w:val="bottom"/>
          </w:tcPr>
          <w:p>
            <w:pPr>
              <w:pStyle w:val="Normal"/>
              <w:widowControl/>
              <w:suppressAutoHyphens w:val="true"/>
              <w:spacing w:lineRule="exact" w:line="240" w:before="0" w:after="0"/>
              <w:jc w:val="right"/>
              <w:rPr>
                <w:rFonts w:ascii="Times New Roman" w:hAnsi="Times New Roman" w:eastAsia="Calibri" w:cs=""/>
                <w:kern w:val="0"/>
                <w:sz w:val="28"/>
                <w:szCs w:val="28"/>
                <w:lang w:val="ru-RU" w:eastAsia="en-US" w:bidi="ar-SA"/>
              </w:rPr>
            </w:pPr>
            <w:bookmarkStart w:id="3" w:name="SIGNERNAME1"/>
            <w:r>
              <w:rPr>
                <w:rFonts w:eastAsia="Calibri" w:cs="Times New Roman"/>
                <w:kern w:val="0"/>
                <w:sz w:val="28"/>
                <w:szCs w:val="28"/>
                <w:lang w:val="ru-RU" w:eastAsia="en-US" w:bidi="ar-SA"/>
              </w:rPr>
              <w:fldChar w:fldCharType="begin"/>
            </w:r>
            <w:r>
              <w:rPr>
                <w:sz w:val="28"/>
                <w:kern w:val="0"/>
                <w:szCs w:val="28"/>
                <w:rFonts w:eastAsia="Calibri" w:cs="Times New Roman"/>
                <w:lang w:val="ru-RU" w:eastAsia="en-US" w:bidi="ar-SA"/>
              </w:rPr>
              <w:instrText xml:space="preserve"> MACROBUTTON ИОФ подписанта</w:instrText>
            </w:r>
            <w:r>
              <w:rPr>
                <w:sz w:val="28"/>
                <w:kern w:val="0"/>
                <w:szCs w:val="28"/>
                <w:rFonts w:eastAsia="Calibri" w:cs="Times New Roman"/>
                <w:lang w:val="ru-RU" w:eastAsia="en-US" w:bidi="ar-SA"/>
              </w:rPr>
              <w:fldChar w:fldCharType="separate"/>
            </w:r>
            <w:r>
              <w:rPr>
                <w:sz w:val="28"/>
                <w:kern w:val="0"/>
                <w:szCs w:val="28"/>
                <w:rFonts w:eastAsia="Calibri" w:cs="Times New Roman"/>
                <w:lang w:val="ru-RU" w:eastAsia="en-US" w:bidi="ar-SA"/>
              </w:rPr>
              <w:t>подписанта</w:t>
            </w:r>
            <w:r>
              <w:rPr>
                <w:sz w:val="28"/>
                <w:kern w:val="0"/>
                <w:szCs w:val="28"/>
                <w:rFonts w:eastAsia="Calibri" w:cs="Times New Roman"/>
                <w:lang w:val="ru-RU" w:eastAsia="en-US" w:bidi="ar-SA"/>
              </w:rPr>
              <w:fldChar w:fldCharType="end"/>
            </w:r>
            <w:bookmarkEnd w:id="3"/>
          </w:p>
        </w:tc>
      </w:tr>
    </w:tbl>
    <w:p>
      <w:pPr>
        <w:pStyle w:val="Normal"/>
        <w:spacing w:before="240" w:after="0"/>
        <w:ind w:left="3686"/>
        <w:rPr>
          <w:rFonts w:ascii="Times New Roman" w:hAnsi="Times New Roman"/>
          <w:sz w:val="28"/>
          <w:szCs w:val="28"/>
        </w:rPr>
      </w:pPr>
      <w:bookmarkStart w:id="4" w:name="SIGNERSTAMP1"/>
      <w:r>
        <w:rPr>
          <w:rFonts w:cs="Times New Roman"/>
          <w:color w:themeColor="background1" w:themeShade="d9" w:val="D9D9D9"/>
          <w:sz w:val="28"/>
          <w:szCs w:val="28"/>
        </w:rPr>
        <w:t>штамп подписи 1</w:t>
      </w:r>
      <w:bookmarkEnd w:id="4"/>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531" w:right="567" w:gutter="0" w:header="680" w:top="737" w:footer="68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swiss"/>
    <w:pitch w:val="variable"/>
  </w:font>
  <w:font w:name="Liberation Sans">
    <w:altName w:val="Arial"/>
    <w:charset w:val="01"/>
    <w:family w:val="swiss"/>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pPr w:vertAnchor="page" w:horzAnchor="margin" w:tblpXSpec="right" w:bottomFromText="160" w:tblpY="0"/>
      <w:tblW w:w="3643" w:type="dxa"/>
      <w:jc w:val="right"/>
      <w:tblInd w:w="0" w:type="dxa"/>
      <w:tblLayout w:type="fixed"/>
      <w:tblCellMar>
        <w:top w:w="28" w:type="dxa"/>
        <w:left w:w="28" w:type="dxa"/>
        <w:bottom w:w="28" w:type="dxa"/>
        <w:right w:w="28" w:type="dxa"/>
      </w:tblCellMar>
      <w:tblLook w:val="04a0" w:noHBand="0" w:noVBand="1" w:firstColumn="1" w:lastRow="0" w:lastColumn="0" w:firstRow="1"/>
    </w:tblPr>
    <w:tblGrid>
      <w:gridCol w:w="3643"/>
    </w:tblGrid>
    <w:tr>
      <w:trPr>
        <w:trHeight w:val="57" w:hRule="atLeast"/>
        <w:cantSplit w:val="true"/>
      </w:trPr>
      <w:tc>
        <w:tcPr>
          <w:tcW w:w="3643" w:type="dxa"/>
          <w:tcBorders>
            <w:top w:val="single" w:sz="12" w:space="0" w:color="000000"/>
            <w:left w:val="single" w:sz="12" w:space="0" w:color="000000"/>
            <w:bottom w:val="single" w:sz="12" w:space="0" w:color="000000"/>
            <w:right w:val="single" w:sz="12" w:space="0" w:color="000000"/>
          </w:tcBorders>
        </w:tcPr>
        <w:p>
          <w:pPr>
            <w:pStyle w:val="Normal"/>
            <w:spacing w:lineRule="auto" w:line="252" w:before="0" w:after="60"/>
            <w:jc w:val="center"/>
            <w:rPr>
              <w:rFonts w:ascii="Calibri" w:hAnsi="Calibri" w:asciiTheme="minorHAnsi" w:hAnsiTheme="minorHAnsi"/>
              <w:sz w:val="16"/>
              <w:szCs w:val="16"/>
            </w:rPr>
          </w:pPr>
          <w:bookmarkStart w:id="5" w:name="SIGNERORG1"/>
          <w:r>
            <w:rPr>
              <w:rFonts w:ascii="Calibri" w:hAnsi="Calibri" w:asciiTheme="minorHAnsi" w:hAnsiTheme="minorHAnsi"/>
              <w:sz w:val="16"/>
              <w:szCs w:val="16"/>
            </w:rPr>
            <w:t>организация</w:t>
          </w:r>
          <w:bookmarkEnd w:id="5"/>
        </w:p>
        <w:p>
          <w:pPr>
            <w:pStyle w:val="Normal"/>
            <w:spacing w:lineRule="auto" w:line="252" w:before="0" w:after="60"/>
            <w:jc w:val="center"/>
            <w:rPr>
              <w:rFonts w:ascii="Calibri" w:hAnsi="Calibri" w:asciiTheme="minorHAnsi" w:hAnsiTheme="minorHAnsi"/>
              <w:sz w:val="16"/>
              <w:szCs w:val="16"/>
            </w:rPr>
          </w:pPr>
          <w:r>
            <w:rPr>
              <w:rFonts w:ascii="Calibri" w:hAnsi="Calibri" w:asciiTheme="minorHAnsi" w:hAnsiTheme="minorHAnsi"/>
              <w:sz w:val="16"/>
              <w:szCs w:val="16"/>
            </w:rPr>
            <w:t xml:space="preserve">№ </w:t>
          </w:r>
          <w:bookmarkStart w:id="6" w:name="REGNUMSTAMP"/>
          <w:r>
            <w:rPr>
              <w:rFonts w:ascii="Calibri" w:hAnsi="Calibri" w:asciiTheme="minorHAnsi" w:hAnsiTheme="minorHAnsi"/>
              <w:color w:themeColor="background1" w:themeShade="bf" w:val="BFBFBF"/>
              <w:sz w:val="16"/>
              <w:szCs w:val="16"/>
            </w:rPr>
            <w:t>рег.номер</w:t>
          </w:r>
          <w:bookmarkEnd w:id="6"/>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456131229"/>
    </w:sdtPr>
    <w:sdtContent>
      <w:p>
        <w:pPr>
          <w:pStyle w:val="Header"/>
          <w:jc w:val="center"/>
          <w:rPr>
            <w:rFonts w:cs="Times New Roman"/>
            <w:szCs w:val="28"/>
          </w:rPr>
        </w:pPr>
        <w:r>
          <w:rPr>
            <w:rFonts w:cs="Times New Roman"/>
            <w:szCs w:val="28"/>
          </w:rPr>
          <w:fldChar w:fldCharType="begin"/>
        </w:r>
        <w:r>
          <w:rPr>
            <w:szCs w:val="28"/>
            <w:rFonts w:cs="Times New Roman"/>
          </w:rPr>
          <w:instrText xml:space="preserve"> PAGE </w:instrText>
        </w:r>
        <w:r>
          <w:rPr>
            <w:szCs w:val="28"/>
            <w:rFonts w:cs="Times New Roman"/>
          </w:rPr>
          <w:fldChar w:fldCharType="separate"/>
        </w:r>
        <w:r>
          <w:rPr>
            <w:szCs w:val="28"/>
            <w:rFonts w:cs="Times New Roman"/>
          </w:rPr>
          <w:t>6</w:t>
        </w:r>
        <w:r>
          <w:rPr>
            <w:szCs w:val="28"/>
            <w:rFonts w:cs="Times New Roman"/>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c92aca"/>
    <w:pPr>
      <w:widowControl/>
      <w:suppressAutoHyphens w:val="true"/>
      <w:bidi w:val="0"/>
      <w:spacing w:lineRule="auto" w:line="240" w:before="0" w:after="0"/>
      <w:jc w:val="left"/>
    </w:pPr>
    <w:rPr>
      <w:rFonts w:ascii="Times New Roman" w:hAnsi="Times New Roman" w:eastAsia="Calibri" w:cs="" w:cstheme="minorBidi" w:eastAsiaTheme="minorHAnsi"/>
      <w:color w:val="auto"/>
      <w:kern w:val="0"/>
      <w:sz w:val="28"/>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18600b"/>
    <w:rPr>
      <w:rFonts w:ascii="Tahoma" w:hAnsi="Tahoma" w:cs="Tahoma"/>
      <w:sz w:val="16"/>
      <w:szCs w:val="16"/>
    </w:rPr>
  </w:style>
  <w:style w:type="character" w:styleId="Style15" w:customStyle="1">
    <w:name w:val="Верхний колонтитул Знак"/>
    <w:basedOn w:val="DefaultParagraphFont"/>
    <w:uiPriority w:val="99"/>
    <w:qFormat/>
    <w:rsid w:val="00466b1c"/>
    <w:rPr/>
  </w:style>
  <w:style w:type="character" w:styleId="Style16" w:customStyle="1">
    <w:name w:val="Нижний колонтитул Знак"/>
    <w:basedOn w:val="DefaultParagraphFont"/>
    <w:uiPriority w:val="99"/>
    <w:qFormat/>
    <w:rsid w:val="00466b1c"/>
    <w:rPr/>
  </w:style>
  <w:style w:type="character" w:styleId="Hyperlink">
    <w:name w:val="Hyperlink"/>
    <w:basedOn w:val="DefaultParagraphFont"/>
    <w:rPr>
      <w:color w:themeColor="hyperlink" w:val="0000FF"/>
      <w:u w:val="single"/>
    </w:rPr>
  </w:style>
  <w:style w:type="paragraph" w:styleId="Style17">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8">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1">
    <w:name w:val="Указатель (user)"/>
    <w:basedOn w:val="Normal"/>
    <w:qFormat/>
    <w:pPr>
      <w:suppressLineNumbers/>
    </w:pPr>
    <w:rPr>
      <w:rFonts w:cs="Noto Sans"/>
    </w:rPr>
  </w:style>
  <w:style w:type="paragraph" w:styleId="BalloonText">
    <w:name w:val="Balloon Text"/>
    <w:basedOn w:val="Normal"/>
    <w:link w:val="Style14"/>
    <w:uiPriority w:val="99"/>
    <w:semiHidden/>
    <w:unhideWhenUsed/>
    <w:qFormat/>
    <w:rsid w:val="0018600b"/>
    <w:pPr/>
    <w:rPr>
      <w:rFonts w:ascii="Tahoma" w:hAnsi="Tahoma" w:cs="Tahoma"/>
      <w:sz w:val="16"/>
      <w:szCs w:val="16"/>
    </w:rPr>
  </w:style>
  <w:style w:type="paragraph" w:styleId="user2">
    <w:name w:val="Колонтитулы (user)"/>
    <w:basedOn w:val="Normal"/>
    <w:qFormat/>
    <w:pPr/>
    <w:rPr/>
  </w:style>
  <w:style w:type="paragraph" w:styleId="Style19">
    <w:name w:val="Колонтитулы"/>
    <w:basedOn w:val="Normal"/>
    <w:qFormat/>
    <w:pPr/>
    <w:rPr/>
  </w:style>
  <w:style w:type="paragraph" w:styleId="Header">
    <w:name w:val="header"/>
    <w:basedOn w:val="Normal"/>
    <w:link w:val="Style15"/>
    <w:uiPriority w:val="99"/>
    <w:unhideWhenUsed/>
    <w:rsid w:val="00466b1c"/>
    <w:pPr>
      <w:tabs>
        <w:tab w:val="clear" w:pos="708"/>
        <w:tab w:val="center" w:pos="4677" w:leader="none"/>
        <w:tab w:val="right" w:pos="9355" w:leader="none"/>
      </w:tabs>
    </w:pPr>
    <w:rPr/>
  </w:style>
  <w:style w:type="paragraph" w:styleId="Footer">
    <w:name w:val="footer"/>
    <w:basedOn w:val="Normal"/>
    <w:link w:val="Style16"/>
    <w:uiPriority w:val="99"/>
    <w:unhideWhenUsed/>
    <w:rsid w:val="00466b1c"/>
    <w:pPr>
      <w:tabs>
        <w:tab w:val="clear" w:pos="708"/>
        <w:tab w:val="center" w:pos="4677" w:leader="none"/>
        <w:tab w:val="right" w:pos="9355" w:leader="none"/>
      </w:tabs>
    </w:pPr>
    <w:rPr/>
  </w:style>
  <w:style w:type="paragraph" w:styleId="NormalWeb">
    <w:name w:val="Normal (Web)"/>
    <w:basedOn w:val="Normal"/>
    <w:uiPriority w:val="99"/>
    <w:semiHidden/>
    <w:unhideWhenUsed/>
    <w:qFormat/>
    <w:rsid w:val="00121900"/>
    <w:pPr/>
    <w:rPr>
      <w:rFonts w:cs="Times New Roman"/>
      <w:sz w:val="24"/>
      <w:szCs w:val="24"/>
    </w:rPr>
  </w:style>
  <w:style w:type="paragraph" w:styleId="ListParagraph">
    <w:name w:val="List Paragraph"/>
    <w:basedOn w:val="Normal"/>
    <w:uiPriority w:val="34"/>
    <w:qFormat/>
    <w:rsid w:val="00c36fd0"/>
    <w:pPr>
      <w:spacing w:before="0" w:after="0"/>
      <w:ind w:left="720"/>
      <w:contextualSpacing/>
    </w:pPr>
    <w:rPr/>
  </w:style>
  <w:style w:type="paragraph" w:styleId="user3">
    <w:name w:val="Содержимое врезки (user)"/>
    <w:basedOn w:val="Normal"/>
    <w:qFormat/>
    <w:pPr/>
    <w:rPr/>
  </w:style>
  <w:style w:type="paragraph" w:styleId="Style20">
    <w:name w:val="Содержимое врезки"/>
    <w:basedOn w:val="Normal"/>
    <w:qFormat/>
    <w:pPr/>
    <w:rPr/>
  </w:style>
  <w:style w:type="paragraph" w:styleId="PlainText">
    <w:name w:val="Plain Text"/>
    <w:basedOn w:val="Normal"/>
    <w:qFormat/>
    <w:pPr>
      <w:spacing w:lineRule="auto" w:line="240" w:before="0" w:after="0"/>
    </w:pPr>
    <w:rPr>
      <w:rFonts w:ascii="Consolas" w:hAnsi="Consolas"/>
      <w:sz w:val="21"/>
      <w:szCs w:val="21"/>
    </w:rPr>
  </w:style>
  <w:style w:type="paragraph" w:styleId="Style2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 w:type="numbering" w:styleId="Style2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5">
    <w:name w:val="Table Grid"/>
    <w:basedOn w:val="a1"/>
    <w:uiPriority w:val="59"/>
    <w:rsid w:val="0018600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
    <w:name w:val="Сетка таблицы светлая1"/>
    <w:basedOn w:val="a1"/>
    <w:uiPriority w:val="40"/>
    <w:rsid w:val="002908b8"/>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2">
    <w:name w:val="Сетка таблицы светлая2"/>
    <w:basedOn w:val="a1"/>
    <w:uiPriority w:val="40"/>
    <w:rsid w:val="002908b8"/>
    <w:pPr>
      <w:spacing w:after="0" w:line="240" w:lineRule="auto"/>
    </w:p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Bodaibo_mer@irmail.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9A89B0DE8416C4D876FFFEA5F9B2278" ma:contentTypeVersion="8" ma:contentTypeDescription="Создание документа." ma:contentTypeScope="" ma:versionID="003586c6ea4489f2927f89e2395b73f4">
  <xsd:schema xmlns:xsd="http://www.w3.org/2001/XMLSchema" xmlns:xs="http://www.w3.org/2001/XMLSchema" xmlns:p="http://schemas.microsoft.com/office/2006/metadata/properties" xmlns:ns2="a83e8710-f6e5-46a6-9c0d-dc56b2fd10f4" xmlns:ns3="df35e43c-8ef9-4f7b-af58-4d1dc73a3b6d" targetNamespace="http://schemas.microsoft.com/office/2006/metadata/properties" ma:root="true" ma:fieldsID="94e953a4221678727b0e80dd50f28c23" ns2:_="" ns3:_="">
    <xsd:import namespace="a83e8710-f6e5-46a6-9c0d-dc56b2fd10f4"/>
    <xsd:import namespace="df35e43c-8ef9-4f7b-af58-4d1dc73a3b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e8710-f6e5-46a6-9c0d-dc56b2fd10f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5e43c-8ef9-4f7b-af58-4d1dc73a3b6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BF900-7A1B-449B-8FEA-0B650A946DF2}">
  <ds:schemaRefs>
    <ds:schemaRef ds:uri="http://schemas.microsoft.com/sharepoint/v3/contenttype/forms"/>
  </ds:schemaRefs>
</ds:datastoreItem>
</file>

<file path=customXml/itemProps2.xml><?xml version="1.0" encoding="utf-8"?>
<ds:datastoreItem xmlns:ds="http://schemas.openxmlformats.org/officeDocument/2006/customXml" ds:itemID="{4514C33B-0FDE-4576-9022-4863285AD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e8710-f6e5-46a6-9c0d-dc56b2fd10f4"/>
    <ds:schemaRef ds:uri="df35e43c-8ef9-4f7b-af58-4d1dc73a3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BE555B-18F2-43AA-8FFE-6E886E682C48}">
  <ds:schemaRefs>
    <ds:schemaRef ds:uri="http://purl.org/dc/elements/1.1/"/>
    <ds:schemaRef ds:uri="http://schemas.openxmlformats.org/package/2006/metadata/core-properties"/>
    <ds:schemaRef ds:uri="http://schemas.microsoft.com/office/infopath/2007/PartnerControls"/>
    <ds:schemaRef ds:uri="df35e43c-8ef9-4f7b-af58-4d1dc73a3b6d"/>
    <ds:schemaRef ds:uri="http://purl.org/dc/terms/"/>
    <ds:schemaRef ds:uri="http://schemas.microsoft.com/office/2006/metadata/properties"/>
    <ds:schemaRef ds:uri="http://schemas.microsoft.com/office/2006/documentManagement/types"/>
    <ds:schemaRef ds:uri="a83e8710-f6e5-46a6-9c0d-dc56b2fd10f4"/>
    <ds:schemaRef ds:uri="http://www.w3.org/XML/1998/namespace"/>
    <ds:schemaRef ds:uri="http://purl.org/dc/dcmitype/"/>
  </ds:schemaRefs>
</ds:datastoreItem>
</file>

<file path=customXml/itemProps4.xml><?xml version="1.0" encoding="utf-8"?>
<ds:datastoreItem xmlns:ds="http://schemas.openxmlformats.org/officeDocument/2006/customXml" ds:itemID="{0C8709A7-7215-4988-9875-36339A6F0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Application>LibreOffice/24.8.7.2$Linux_X86_64 LibreOffice_project/480$Build-2</Application>
  <AppVersion>15.0000</AppVersion>
  <DocSecurity>8</DocSecurity>
  <Pages>6</Pages>
  <Words>1697</Words>
  <Characters>11874</Characters>
  <CharactersWithSpaces>13569</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Файлы документов</cp:category>
  <dcterms:created xsi:type="dcterms:W3CDTF">2025-09-28T11:11:00Z</dcterms:created>
  <dc:creator>ЭОС</dc:creator>
  <dc:description/>
  <dc:language>ru-RU</dc:language>
  <cp:lastModifiedBy/>
  <cp:lastPrinted>2025-12-20T16:53:09Z</cp:lastPrinted>
  <dcterms:modified xsi:type="dcterms:W3CDTF">2026-02-26T14:59:30Z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0x010100B9A89B0DE8416C4D876FFFEA5F9B2278</vt:lpwstr>
  </property>
</Properties>
</file>